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r w:rsidRPr="002F5FBD">
        <w:rPr>
          <w:rFonts w:ascii="方正小标宋简体" w:eastAsia="方正小标宋简体" w:hint="eastAsia"/>
          <w:sz w:val="36"/>
          <w:szCs w:val="36"/>
        </w:rPr>
        <w:t>药物代谢产物安全性试验技术指导原则</w:t>
      </w:r>
      <w:bookmarkStart w:id="0" w:name="_GoBack"/>
      <w:bookmarkEnd w:id="0"/>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Default="002F5FBD" w:rsidP="002F5FBD">
      <w:pPr>
        <w:jc w:val="center"/>
        <w:rPr>
          <w:rFonts w:ascii="方正小标宋简体" w:eastAsia="方正小标宋简体"/>
          <w:sz w:val="36"/>
          <w:szCs w:val="36"/>
        </w:rPr>
      </w:pPr>
    </w:p>
    <w:p w:rsidR="002F5FBD" w:rsidRPr="000F7D39" w:rsidRDefault="002F5FBD" w:rsidP="002F5FBD">
      <w:pPr>
        <w:jc w:val="center"/>
        <w:rPr>
          <w:rFonts w:ascii="方正小标宋简体" w:eastAsia="方正小标宋简体"/>
          <w:sz w:val="36"/>
          <w:szCs w:val="36"/>
        </w:rPr>
      </w:pPr>
      <w:r w:rsidRPr="00230D1D">
        <w:rPr>
          <w:rFonts w:ascii="方正小标宋简体" w:eastAsia="方正小标宋简体" w:hint="eastAsia"/>
          <w:sz w:val="36"/>
          <w:szCs w:val="36"/>
        </w:rPr>
        <w:t>二</w:t>
      </w:r>
      <w:r w:rsidRPr="00230D1D">
        <w:rPr>
          <w:rFonts w:ascii="方正小标宋简体" w:eastAsia="方正小标宋简体"/>
          <w:sz w:val="36"/>
          <w:szCs w:val="36"/>
        </w:rPr>
        <w:t>0一</w:t>
      </w:r>
      <w:r>
        <w:rPr>
          <w:rFonts w:ascii="方正小标宋简体" w:eastAsia="方正小标宋简体" w:hint="eastAsia"/>
          <w:sz w:val="36"/>
          <w:szCs w:val="36"/>
        </w:rPr>
        <w:t>二</w:t>
      </w:r>
      <w:r w:rsidRPr="00230D1D">
        <w:rPr>
          <w:rFonts w:ascii="方正小标宋简体" w:eastAsia="方正小标宋简体"/>
          <w:sz w:val="36"/>
          <w:szCs w:val="36"/>
        </w:rPr>
        <w:t>年</w:t>
      </w:r>
      <w:r>
        <w:rPr>
          <w:rFonts w:ascii="方正小标宋简体" w:eastAsia="方正小标宋简体" w:hint="eastAsia"/>
          <w:sz w:val="36"/>
          <w:szCs w:val="36"/>
        </w:rPr>
        <w:t>五</w:t>
      </w:r>
      <w:r w:rsidRPr="00230D1D">
        <w:rPr>
          <w:rFonts w:ascii="方正小标宋简体" w:eastAsia="方正小标宋简体"/>
          <w:sz w:val="36"/>
          <w:szCs w:val="36"/>
        </w:rPr>
        <w:t>月</w:t>
      </w:r>
    </w:p>
    <w:p w:rsidR="002F5FBD" w:rsidRPr="000F7D39" w:rsidRDefault="002F5FBD" w:rsidP="002F5FBD">
      <w:pPr>
        <w:jc w:val="center"/>
        <w:rPr>
          <w:rFonts w:ascii="方正小标宋简体" w:eastAsia="方正小标宋简体"/>
          <w:sz w:val="36"/>
          <w:szCs w:val="36"/>
        </w:rPr>
      </w:pPr>
    </w:p>
    <w:p w:rsidR="002F5FBD" w:rsidRDefault="002F5FBD" w:rsidP="00CA708D">
      <w:pPr>
        <w:adjustRightInd w:val="0"/>
        <w:spacing w:line="560" w:lineRule="exact"/>
        <w:ind w:left="120"/>
        <w:jc w:val="center"/>
        <w:rPr>
          <w:rFonts w:ascii="方正小标宋_GBK" w:eastAsia="方正小标宋_GBK"/>
          <w:bCs/>
          <w:spacing w:val="2"/>
          <w:sz w:val="36"/>
          <w:szCs w:val="36"/>
        </w:rPr>
      </w:pPr>
    </w:p>
    <w:p w:rsidR="002F5FBD" w:rsidRDefault="002F5FBD">
      <w:pPr>
        <w:widowControl/>
        <w:jc w:val="left"/>
        <w:rPr>
          <w:rFonts w:ascii="方正小标宋_GBK" w:eastAsia="方正小标宋_GBK"/>
          <w:bCs/>
          <w:spacing w:val="2"/>
          <w:sz w:val="36"/>
          <w:szCs w:val="36"/>
        </w:rPr>
      </w:pPr>
      <w:r>
        <w:rPr>
          <w:rFonts w:ascii="方正小标宋_GBK" w:eastAsia="方正小标宋_GBK"/>
          <w:bCs/>
          <w:spacing w:val="2"/>
          <w:sz w:val="36"/>
          <w:szCs w:val="36"/>
        </w:rPr>
        <w:br w:type="page"/>
      </w:r>
    </w:p>
    <w:p w:rsidR="00CA708D" w:rsidRPr="00682E6E" w:rsidRDefault="00CA708D" w:rsidP="00CA708D">
      <w:pPr>
        <w:adjustRightInd w:val="0"/>
        <w:spacing w:line="560" w:lineRule="exact"/>
        <w:ind w:left="120"/>
        <w:jc w:val="center"/>
        <w:rPr>
          <w:rFonts w:ascii="方正小标宋_GBK" w:eastAsia="方正小标宋_GBK"/>
          <w:bCs/>
          <w:spacing w:val="2"/>
          <w:sz w:val="36"/>
          <w:szCs w:val="36"/>
        </w:rPr>
      </w:pPr>
      <w:r w:rsidRPr="00682E6E">
        <w:rPr>
          <w:rFonts w:ascii="方正小标宋_GBK" w:eastAsia="方正小标宋_GBK" w:hint="eastAsia"/>
          <w:bCs/>
          <w:spacing w:val="2"/>
          <w:sz w:val="36"/>
          <w:szCs w:val="36"/>
        </w:rPr>
        <w:lastRenderedPageBreak/>
        <w:t>药物代谢产物安全性试验技术指导原则</w:t>
      </w:r>
    </w:p>
    <w:p w:rsidR="00CA708D" w:rsidRPr="00176A4A" w:rsidRDefault="00CA708D" w:rsidP="00CA708D">
      <w:pPr>
        <w:adjustRightInd w:val="0"/>
        <w:spacing w:line="560" w:lineRule="exact"/>
        <w:ind w:left="120"/>
        <w:jc w:val="center"/>
        <w:rPr>
          <w:rFonts w:ascii="方正小标宋_GBK" w:eastAsia="方正小标宋_GBK"/>
          <w:bCs/>
          <w:spacing w:val="2"/>
          <w:sz w:val="30"/>
          <w:szCs w:val="30"/>
        </w:rPr>
      </w:pPr>
    </w:p>
    <w:p w:rsidR="00CA708D" w:rsidRPr="00B970D3" w:rsidRDefault="00CA708D" w:rsidP="00CA708D">
      <w:pPr>
        <w:shd w:val="clear" w:color="auto" w:fill="FFFFFF"/>
        <w:snapToGrid w:val="0"/>
        <w:spacing w:line="560" w:lineRule="exact"/>
        <w:ind w:rightChars="-413" w:right="-867" w:firstLineChars="196" w:firstLine="549"/>
        <w:rPr>
          <w:rFonts w:ascii="黑体" w:eastAsia="黑体"/>
          <w:sz w:val="28"/>
          <w:szCs w:val="28"/>
        </w:rPr>
      </w:pPr>
      <w:r>
        <w:rPr>
          <w:rFonts w:ascii="黑体" w:eastAsia="黑体" w:hint="eastAsia"/>
          <w:sz w:val="28"/>
          <w:szCs w:val="28"/>
        </w:rPr>
        <w:t>一、</w:t>
      </w:r>
      <w:r w:rsidRPr="00B970D3">
        <w:rPr>
          <w:rFonts w:ascii="黑体" w:eastAsia="黑体" w:hint="eastAsia"/>
          <w:sz w:val="28"/>
          <w:szCs w:val="28"/>
        </w:rPr>
        <w:t>概述</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药物安全性的非临床研究通常由标准的动物毒理学试验组成，这些试验通常包含了药物暴露量的评价，主要是母体药物血浆浓度的评价。一般情况下，通常将非临床试验中获得的血浆药物浓度和系统暴露量与人体的系统暴露量进行比较，对非临床试验结果提示的潜在风险进行评估，并指导临床试验中的风险控制。当人体中的代谢特征与非临床试验中使用的至少一种动物种属中的代谢特征相似时，这种试验模式通常认为是可行、充分的。但是，不同动物种属的代谢特征在质和量上均可能存在差异，而且还存在临床相关的代谢产物在非临床安全性试验中未被确定或未被充分评价的情况。如果某种代谢产物仅在人体中出现而在受试动物种属中不存在，或者某种代谢产物在人体的暴露比例水平高于采用母体药物进行标准毒理学试验的动物种属中的暴露比例水平时，代谢产物的安全性就值得关注，应考虑进行代谢产物的非临床安全性评价。</w:t>
      </w:r>
    </w:p>
    <w:p w:rsidR="00CA708D" w:rsidRPr="00CE1004" w:rsidRDefault="00CA708D" w:rsidP="00CA708D">
      <w:pPr>
        <w:adjustRightInd w:val="0"/>
        <w:spacing w:line="560" w:lineRule="exact"/>
        <w:ind w:leftChars="50" w:left="105" w:firstLineChars="196" w:firstLine="549"/>
        <w:rPr>
          <w:rFonts w:ascii="黑体" w:eastAsia="黑体"/>
          <w:sz w:val="28"/>
          <w:szCs w:val="28"/>
        </w:rPr>
      </w:pPr>
      <w:r>
        <w:rPr>
          <w:rFonts w:ascii="黑体" w:eastAsia="黑体" w:hint="eastAsia"/>
          <w:sz w:val="28"/>
          <w:szCs w:val="28"/>
        </w:rPr>
        <w:t>二、</w:t>
      </w:r>
      <w:r w:rsidRPr="00CE1004">
        <w:rPr>
          <w:rFonts w:ascii="黑体" w:eastAsia="黑体" w:hint="eastAsia"/>
          <w:sz w:val="28"/>
          <w:szCs w:val="28"/>
        </w:rPr>
        <w:t>背景信息</w:t>
      </w:r>
    </w:p>
    <w:p w:rsidR="00CA708D" w:rsidRPr="00CE1004" w:rsidRDefault="00CA708D" w:rsidP="00CA708D">
      <w:pPr>
        <w:adjustRightInd w:val="0"/>
        <w:spacing w:line="560" w:lineRule="exact"/>
        <w:ind w:leftChars="50" w:left="105" w:firstLineChars="250" w:firstLine="700"/>
        <w:rPr>
          <w:rFonts w:ascii="仿宋_GB2312" w:eastAsia="仿宋_GB2312"/>
          <w:sz w:val="28"/>
          <w:szCs w:val="28"/>
        </w:rPr>
      </w:pPr>
      <w:r w:rsidRPr="00CE1004">
        <w:rPr>
          <w:rFonts w:ascii="仿宋_GB2312" w:eastAsia="仿宋_GB2312" w:hint="eastAsia"/>
          <w:sz w:val="28"/>
          <w:szCs w:val="28"/>
        </w:rPr>
        <w:t>常规情况下，临床前安全性试验不要求在动物中对代谢产物进行评价。因此，代谢产物在总体药物毒性中的作用通常不明确。缺乏代谢产物在药物毒性中作用的评价，其部分原因可能是因为用于检测和鉴别母体药物代谢产物特征的分析方法的灵敏度不够。随着过去10年的技术进步，分析检测能力有了显著提高，现在已能够对代谢产物进行检测、鉴别和定性，这将有助于更好理解代谢产物在药物安全性评价中的地位。</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lastRenderedPageBreak/>
        <w:t>进入机体的药物通常通过I相和II相代谢途径进行生物转化。根据所涉及的化学反应性质，I相反应产生的代谢产物，很可能具有化学反应性或/和药理学活性，因此可能更需要进行安全性评价。活性代谢产物可能与治疗靶点受体或其他受体结合，或与其他靶点（如酶、蛋白）相互作用，引起非预期的效应。尤其是当代谢产物仅在人体中形成时，这个问题更为重要。但是，仅在人体中存在而不在实验动物种属中存在的代谢产物，出现的几率极低。更为常见的情况是，人体中形成的代谢产物比例水平远远高于母体药物在动物安全性试验中代谢产物的比例水平，这缘于人体和动物的代谢特征存在质和/或量的差异。如果在母体药物的毒理学试验中确定至少有一种实验动物种属中形成特定代谢产物的暴露量水平足够高（与人体暴露量大致相当或更高），则可认为该代谢产物对总体毒性的作用已经得到了确定。代谢产物安全性评价的决策流程图见附录A。</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对于代谢产生的活性中间体，因其半衰期短，常难以检出和测定。但是，它们能形成可检测的稳定产物（如谷胱甘肽结合物），因此可能不需要对活性中间体做进一步的安全性评价。II相结合反应通常会使一个化合物的水溶性增加并失去药理学活性，故也不再需要进一步评价。但是，如果结合反应形成一种毒性化合物如乙酰葡萄糖醛酸（acylglucuronide），则可能需要进一步的安全性评价。</w:t>
      </w:r>
    </w:p>
    <w:p w:rsidR="00CA708D" w:rsidRPr="00EC331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若研究发现代谢产物在靶受体上无药理学活性，这并不能确保其无毒性，该代谢产物也可能需要在非临床毒理学试验中进行安全性评价。列举案例见附录B。</w:t>
      </w:r>
    </w:p>
    <w:p w:rsidR="00CA708D" w:rsidRPr="00CE1004" w:rsidRDefault="00CA708D" w:rsidP="00CA708D">
      <w:pPr>
        <w:spacing w:line="560" w:lineRule="exact"/>
        <w:ind w:firstLineChars="147" w:firstLine="412"/>
        <w:rPr>
          <w:rFonts w:ascii="黑体" w:eastAsia="黑体"/>
          <w:sz w:val="28"/>
          <w:szCs w:val="28"/>
        </w:rPr>
      </w:pPr>
      <w:r>
        <w:rPr>
          <w:rFonts w:ascii="黑体" w:eastAsia="黑体" w:hint="eastAsia"/>
          <w:sz w:val="28"/>
          <w:szCs w:val="28"/>
        </w:rPr>
        <w:t>三、</w:t>
      </w:r>
      <w:r w:rsidRPr="00CE1004">
        <w:rPr>
          <w:rFonts w:ascii="黑体" w:eastAsia="黑体" w:hint="eastAsia"/>
          <w:sz w:val="28"/>
          <w:szCs w:val="28"/>
        </w:rPr>
        <w:t>目的和适用范围</w:t>
      </w:r>
    </w:p>
    <w:p w:rsidR="00CA708D" w:rsidRPr="00CE1004" w:rsidRDefault="00CA708D" w:rsidP="00CA708D">
      <w:pPr>
        <w:spacing w:line="560" w:lineRule="exact"/>
        <w:rPr>
          <w:rFonts w:ascii="仿宋_GB2312" w:eastAsia="仿宋_GB2312"/>
          <w:sz w:val="28"/>
          <w:szCs w:val="28"/>
        </w:rPr>
      </w:pPr>
      <w:r w:rsidRPr="00CE1004">
        <w:rPr>
          <w:rFonts w:ascii="仿宋_GB2312" w:eastAsia="仿宋_GB2312" w:hint="eastAsia"/>
          <w:sz w:val="28"/>
          <w:szCs w:val="28"/>
        </w:rPr>
        <w:lastRenderedPageBreak/>
        <w:t xml:space="preserve">　 本指导原则主要针对需要进行非临床毒性评价的药物代谢产物，为研发者何时以及如何鉴定高比例药物代谢产物并研究其安全性特征提供建议。</w:t>
      </w:r>
    </w:p>
    <w:p w:rsidR="00CA708D" w:rsidRPr="00CE1004" w:rsidRDefault="00CA708D" w:rsidP="00CA708D">
      <w:pPr>
        <w:adjustRightInd w:val="0"/>
        <w:spacing w:line="560" w:lineRule="exact"/>
        <w:rPr>
          <w:rFonts w:ascii="仿宋_GB2312" w:eastAsia="仿宋_GB2312"/>
          <w:sz w:val="28"/>
          <w:szCs w:val="28"/>
        </w:rPr>
      </w:pPr>
      <w:r w:rsidRPr="00CE1004">
        <w:rPr>
          <w:rFonts w:ascii="仿宋_GB2312" w:eastAsia="仿宋_GB2312" w:hint="eastAsia"/>
          <w:sz w:val="28"/>
          <w:szCs w:val="28"/>
        </w:rPr>
        <w:t xml:space="preserve">    本指导原则适用于小分子化学新药。本指导原则不适用于那些需要考虑风险效益评价的抗肿瘤药物。针对抗肿瘤药物代谢产物的安全试验可参考ICH S9指导原则。</w:t>
      </w:r>
    </w:p>
    <w:p w:rsidR="00CA708D" w:rsidRPr="00CE1004" w:rsidRDefault="00CA708D" w:rsidP="00CA708D">
      <w:pPr>
        <w:spacing w:line="560" w:lineRule="exact"/>
        <w:rPr>
          <w:rFonts w:ascii="仿宋_GB2312" w:eastAsia="仿宋_GB2312"/>
          <w:sz w:val="28"/>
          <w:szCs w:val="28"/>
        </w:rPr>
      </w:pPr>
      <w:r w:rsidRPr="00CE1004">
        <w:rPr>
          <w:rFonts w:ascii="仿宋_GB2312" w:eastAsia="仿宋_GB2312" w:hint="eastAsia"/>
          <w:sz w:val="28"/>
          <w:szCs w:val="28"/>
        </w:rPr>
        <w:t xml:space="preserve">　　注册申请人可就具体药物研发中的代谢产物安全性评价与药品审评部门进行交流。</w:t>
      </w:r>
    </w:p>
    <w:p w:rsidR="00CA708D" w:rsidRPr="00A86FC7" w:rsidRDefault="00CA708D" w:rsidP="00CA708D">
      <w:pPr>
        <w:spacing w:line="560" w:lineRule="exact"/>
        <w:ind w:firstLineChars="147" w:firstLine="412"/>
        <w:rPr>
          <w:rFonts w:ascii="黑体" w:eastAsia="黑体"/>
          <w:sz w:val="28"/>
          <w:szCs w:val="28"/>
        </w:rPr>
      </w:pPr>
      <w:r w:rsidRPr="00A86FC7">
        <w:rPr>
          <w:rFonts w:ascii="黑体" w:eastAsia="黑体" w:hint="eastAsia"/>
          <w:sz w:val="28"/>
          <w:szCs w:val="28"/>
        </w:rPr>
        <w:t>四、代谢产物安全性试验的一般考虑</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在药物开发过程中应尽早确认非临床安全评价中所用动物种属和人体间的药物代谢差异。如在获得人体药代数据后，通过比较药代信息决定是否需要尽早开展代谢产物的安全性评价。在药物开发晚期发现高比例药物代谢产物（Disproportionate drug metabolite）时可能会导致药物开发或上市延迟。</w:t>
      </w:r>
    </w:p>
    <w:p w:rsidR="00CA708D" w:rsidRPr="00176A4A"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一般情况下，对于仅在人体中出现的代谢产物，或人体中代谢产物水平远高于已知或已进行评价的实验动物种属中的水平时，应考虑进行安全性评价。若人体中的代谢产物水平高于稳态时体内药物总暴露量的10%时，通常会引起安全性担忧。代谢产物水平通常采用曲线下面积（AUC）来表示，但有时也会采用达峰浓度（Cmax）来表示。</w:t>
      </w:r>
    </w:p>
    <w:p w:rsidR="00CA708D" w:rsidRPr="00176A4A" w:rsidRDefault="00CA708D" w:rsidP="00CA708D">
      <w:pPr>
        <w:kinsoku w:val="0"/>
        <w:adjustRightInd w:val="0"/>
        <w:spacing w:line="560" w:lineRule="exact"/>
        <w:ind w:leftChars="50" w:left="105" w:firstLineChars="196" w:firstLine="551"/>
        <w:rPr>
          <w:rFonts w:ascii="仿宋_GB2312" w:eastAsia="仿宋_GB2312"/>
          <w:b/>
          <w:bCs/>
          <w:sz w:val="28"/>
          <w:szCs w:val="28"/>
        </w:rPr>
      </w:pPr>
      <w:r>
        <w:rPr>
          <w:rFonts w:ascii="仿宋_GB2312" w:eastAsia="仿宋_GB2312" w:hint="eastAsia"/>
          <w:b/>
          <w:bCs/>
          <w:sz w:val="28"/>
          <w:szCs w:val="28"/>
        </w:rPr>
        <w:t>（一）</w:t>
      </w:r>
      <w:r w:rsidRPr="00176A4A">
        <w:rPr>
          <w:rFonts w:ascii="仿宋_GB2312" w:eastAsia="仿宋_GB2312" w:hint="eastAsia"/>
          <w:b/>
          <w:bCs/>
          <w:sz w:val="28"/>
          <w:szCs w:val="28"/>
        </w:rPr>
        <w:t xml:space="preserve"> 评价代谢产物安全性的一般方法</w:t>
      </w:r>
    </w:p>
    <w:p w:rsidR="00CA708D" w:rsidRPr="00305896" w:rsidRDefault="00CA708D" w:rsidP="00CA708D">
      <w:pPr>
        <w:adjustRightInd w:val="0"/>
        <w:spacing w:line="560" w:lineRule="exact"/>
        <w:ind w:left="120" w:firstLineChars="200" w:firstLine="560"/>
      </w:pPr>
      <w:r w:rsidRPr="00305896">
        <w:rPr>
          <w:rFonts w:ascii="TimesNewRomanPSMT" w:eastAsia="仿宋_GB2312" w:hAnsi="TimesNewRomanPSMT" w:hint="eastAsia"/>
          <w:color w:val="FF0000"/>
          <w:kern w:val="0"/>
          <w:sz w:val="28"/>
          <w:szCs w:val="28"/>
        </w:rPr>
        <w:t>如果在动物中发现的代谢产物在人体中不存在，意味着在该动物</w:t>
      </w:r>
      <w:r w:rsidRPr="00305896">
        <w:rPr>
          <w:rFonts w:hint="eastAsia"/>
        </w:rPr>
        <w:t>种</w:t>
      </w:r>
      <w:r w:rsidRPr="00305896">
        <w:rPr>
          <w:rFonts w:ascii="仿宋_GB2312" w:eastAsia="仿宋_GB2312" w:hint="eastAsia"/>
          <w:sz w:val="28"/>
          <w:szCs w:val="28"/>
        </w:rPr>
        <w:t>属中观察到</w:t>
      </w:r>
      <w:r>
        <w:rPr>
          <w:rFonts w:ascii="仿宋_GB2312" w:eastAsia="仿宋_GB2312" w:hint="eastAsia"/>
          <w:sz w:val="28"/>
          <w:szCs w:val="28"/>
        </w:rPr>
        <w:t>的</w:t>
      </w:r>
      <w:r w:rsidRPr="00305896">
        <w:rPr>
          <w:rFonts w:ascii="仿宋_GB2312" w:eastAsia="仿宋_GB2312" w:hint="eastAsia"/>
          <w:sz w:val="28"/>
          <w:szCs w:val="28"/>
        </w:rPr>
        <w:t>谢产物引起的毒性可能与人体无相关性。相反，如果在临床开发过程中发现的代谢产物在实验动物种属中不存在，或在动物</w:t>
      </w:r>
      <w:r w:rsidRPr="00305896">
        <w:rPr>
          <w:rFonts w:ascii="仿宋_GB2312" w:eastAsia="仿宋_GB2312" w:hint="eastAsia"/>
          <w:sz w:val="28"/>
          <w:szCs w:val="28"/>
        </w:rPr>
        <w:lastRenderedPageBreak/>
        <w:t>中水平远低于人体水平，则建议进行进一步的动物试验以确定该代谢产物的潜在毒性。</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这种情况下，可考虑采用以下两种方法来评价药物代谢产物的安全性。第一种方法是，确定一种在常规毒理学试验中的动物种属，在该动物种属上能形成充分暴露水平的该代谢产物（与人体暴露量相当或更高），然后在该动物种属中研究药物毒性。第二种方法是，如果不能确定一种形成该代谢产物的相关动物种属，则可合成该代谢产物，通过掺入法或直接给药来开展进一步的安全性评价。上述试验需建立能够在非临床毒理学试验中鉴别和检测该代谢产物的分析方法。</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众所周知，特定代谢产物的合成存在困难，代谢产物直接给药也有其固有的复杂性。直接将代谢产物给予动物，可能还会存在后续代谢，因而可能无法反映临床实际情况，这样使得毒理学评价变得复杂化。以代谢产物给药可能会出现在母体药物试验中未观察到的新的毒性，但尽管有这样的复杂问题，检测和评价药物代谢产物潜在的毒性，对于保障药物的临床安全性仍具有重要性。确定是否进行直接的代谢产物的安全性试验，应基于对母体药物的数据以及代谢产物各方面信息的综合评价。</w:t>
      </w:r>
    </w:p>
    <w:p w:rsidR="00CA708D" w:rsidRPr="00176A4A" w:rsidRDefault="00CA708D" w:rsidP="00CA708D">
      <w:pPr>
        <w:adjustRightInd w:val="0"/>
        <w:spacing w:line="560" w:lineRule="exact"/>
        <w:ind w:firstLineChars="245" w:firstLine="689"/>
        <w:rPr>
          <w:rFonts w:ascii="仿宋_GB2312" w:eastAsia="仿宋_GB2312"/>
          <w:b/>
          <w:sz w:val="28"/>
          <w:szCs w:val="28"/>
        </w:rPr>
      </w:pPr>
      <w:r>
        <w:rPr>
          <w:rFonts w:ascii="仿宋_GB2312" w:eastAsia="仿宋_GB2312" w:hint="eastAsia"/>
          <w:b/>
          <w:sz w:val="28"/>
          <w:szCs w:val="28"/>
        </w:rPr>
        <w:t>（二）</w:t>
      </w:r>
      <w:r w:rsidRPr="00176A4A">
        <w:rPr>
          <w:rFonts w:ascii="仿宋_GB2312" w:eastAsia="仿宋_GB2312" w:hint="eastAsia"/>
          <w:b/>
          <w:sz w:val="28"/>
          <w:szCs w:val="28"/>
        </w:rPr>
        <w:t xml:space="preserve"> 代谢产物鉴别</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在药物开发过程中需要确定药物的代谢特征，可以在不同开发阶段，通过体外和体内试验方法来完成代谢特征的确定。体外试验可采用不同动物和人体的肝微粒体、肝脏切片或肝细胞，体外试验通常应在临床试验开始前进行。非临床试验动物种属中的体内代谢试验通常应在药物开发早期进行，其结果可以证实体外试验获得的结果，或者</w:t>
      </w:r>
      <w:r w:rsidRPr="00CE1004">
        <w:rPr>
          <w:rFonts w:ascii="仿宋_GB2312" w:eastAsia="仿宋_GB2312" w:hint="eastAsia"/>
          <w:sz w:val="28"/>
          <w:szCs w:val="28"/>
        </w:rPr>
        <w:lastRenderedPageBreak/>
        <w:t>提示动物种属间代谢存在的质和/或量的差异，而后者可能会带来安全性担忧。人体的体内代谢试验通常是在药物开发的相对后期进行，但仍建议人体内代谢研究尽早进行。</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对于在非临床试验动物中暴露水平远低于人体的代谢产物，其暴露是否充分应具体问题具体分析。通常情况下，通过测定稳态时血清或血浆中药物浓度来分析系统暴露量。但如果由于某种原因无法在受试动物的血浆中测定时，则可通过测定代谢产物在其他生物基质的水平以验证暴露是否充分，如尿液、粪便或胆汁。</w:t>
      </w:r>
    </w:p>
    <w:p w:rsidR="00CA708D" w:rsidRPr="00176A4A" w:rsidRDefault="00CA708D" w:rsidP="00CA708D">
      <w:pPr>
        <w:adjustRightInd w:val="0"/>
        <w:spacing w:line="560" w:lineRule="exact"/>
        <w:ind w:firstLineChars="196" w:firstLine="551"/>
        <w:rPr>
          <w:rFonts w:ascii="仿宋_GB2312" w:eastAsia="仿宋_GB2312"/>
          <w:b/>
          <w:sz w:val="28"/>
          <w:szCs w:val="28"/>
        </w:rPr>
      </w:pPr>
      <w:r>
        <w:rPr>
          <w:rFonts w:ascii="仿宋_GB2312" w:eastAsia="仿宋_GB2312" w:hint="eastAsia"/>
          <w:b/>
          <w:sz w:val="28"/>
          <w:szCs w:val="28"/>
        </w:rPr>
        <w:t>（三）</w:t>
      </w:r>
      <w:r w:rsidRPr="00176A4A">
        <w:rPr>
          <w:rFonts w:ascii="仿宋_GB2312" w:eastAsia="仿宋_GB2312" w:hint="eastAsia"/>
          <w:b/>
          <w:sz w:val="28"/>
          <w:szCs w:val="28"/>
        </w:rPr>
        <w:t>非临床试验设计的一般考虑</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对一种高比例药物代谢产物设计非临床试验时，需要考虑以下因素：代谢产物与母体分子的相似性</w:t>
      </w:r>
      <w:r>
        <w:rPr>
          <w:rFonts w:ascii="仿宋_GB2312" w:eastAsia="仿宋_GB2312" w:hint="eastAsia"/>
          <w:sz w:val="28"/>
          <w:szCs w:val="28"/>
        </w:rPr>
        <w:t>，</w:t>
      </w:r>
      <w:r w:rsidRPr="00CE1004">
        <w:rPr>
          <w:rFonts w:ascii="仿宋_GB2312" w:eastAsia="仿宋_GB2312" w:hint="eastAsia"/>
          <w:sz w:val="28"/>
          <w:szCs w:val="28"/>
        </w:rPr>
        <w:t>药理学或化学分类</w:t>
      </w:r>
      <w:r>
        <w:rPr>
          <w:rFonts w:ascii="仿宋_GB2312" w:eastAsia="仿宋_GB2312" w:hint="eastAsia"/>
          <w:sz w:val="28"/>
          <w:szCs w:val="28"/>
        </w:rPr>
        <w:t>，</w:t>
      </w:r>
      <w:r w:rsidRPr="00CE1004">
        <w:rPr>
          <w:rFonts w:ascii="仿宋_GB2312" w:eastAsia="仿宋_GB2312" w:hint="eastAsia"/>
          <w:sz w:val="28"/>
          <w:szCs w:val="28"/>
        </w:rPr>
        <w:t>溶解性</w:t>
      </w:r>
      <w:r>
        <w:rPr>
          <w:rFonts w:ascii="仿宋_GB2312" w:eastAsia="仿宋_GB2312" w:hint="eastAsia"/>
          <w:sz w:val="28"/>
          <w:szCs w:val="28"/>
        </w:rPr>
        <w:t>，</w:t>
      </w:r>
      <w:r w:rsidRPr="00CE1004">
        <w:rPr>
          <w:rFonts w:ascii="仿宋_GB2312" w:eastAsia="仿宋_GB2312" w:hint="eastAsia"/>
          <w:sz w:val="28"/>
          <w:szCs w:val="28"/>
        </w:rPr>
        <w:t>胃液环境下的稳定性</w:t>
      </w:r>
      <w:r>
        <w:rPr>
          <w:rFonts w:ascii="仿宋_GB2312" w:eastAsia="仿宋_GB2312" w:hint="eastAsia"/>
          <w:sz w:val="28"/>
          <w:szCs w:val="28"/>
        </w:rPr>
        <w:t>，</w:t>
      </w:r>
      <w:r w:rsidRPr="00CE1004">
        <w:rPr>
          <w:rFonts w:ascii="仿宋_GB2312" w:eastAsia="仿宋_GB2312" w:hint="eastAsia"/>
          <w:sz w:val="28"/>
          <w:szCs w:val="28"/>
        </w:rPr>
        <w:t>I相或II相代谢产物，人体中暴露水平与动物中暴露水平的相对量。</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其他需要考虑的因素包括药物拟定适应症和患者人群[例如对于严重疾病适应症时非临床试验可以简化，如肌萎缩性侧索硬化症（ALS）]。在对代谢产物设计非临床试验时，还需要考虑拟定的用药疗程（短期、中期或长期用药）以及治疗剂量下的暴露水平。</w:t>
      </w:r>
    </w:p>
    <w:p w:rsidR="00CA708D" w:rsidRPr="00CE1004" w:rsidRDefault="00CA708D" w:rsidP="00CA708D">
      <w:pPr>
        <w:adjustRightInd w:val="0"/>
        <w:spacing w:line="560" w:lineRule="exact"/>
        <w:ind w:firstLineChars="246" w:firstLine="689"/>
        <w:rPr>
          <w:rFonts w:ascii="黑体" w:eastAsia="黑体"/>
          <w:sz w:val="28"/>
          <w:szCs w:val="28"/>
        </w:rPr>
      </w:pPr>
      <w:r>
        <w:rPr>
          <w:rFonts w:ascii="黑体" w:eastAsia="黑体" w:hint="eastAsia"/>
          <w:sz w:val="28"/>
          <w:szCs w:val="28"/>
        </w:rPr>
        <w:t>五、</w:t>
      </w:r>
      <w:r w:rsidRPr="00CE1004">
        <w:rPr>
          <w:rFonts w:ascii="黑体" w:eastAsia="黑体" w:hint="eastAsia"/>
          <w:sz w:val="28"/>
          <w:szCs w:val="28"/>
        </w:rPr>
        <w:t>推荐的代谢产物的安全性试验</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需要进行安全性评价的药物代谢产物的非临床试验应符合GLP。可能需要进行以下试验来评价高比例药物代谢产物的安全性。</w:t>
      </w:r>
    </w:p>
    <w:p w:rsidR="00CA708D" w:rsidRDefault="00CA708D" w:rsidP="00CA708D">
      <w:pPr>
        <w:adjustRightInd w:val="0"/>
        <w:spacing w:line="560" w:lineRule="exact"/>
        <w:ind w:firstLineChars="196" w:firstLine="551"/>
        <w:rPr>
          <w:rFonts w:ascii="仿宋_GB2312" w:eastAsia="仿宋_GB2312"/>
          <w:b/>
          <w:sz w:val="28"/>
          <w:szCs w:val="28"/>
        </w:rPr>
      </w:pPr>
    </w:p>
    <w:p w:rsidR="00CA708D" w:rsidRPr="00CE1004" w:rsidRDefault="00CA708D" w:rsidP="00CA708D">
      <w:pPr>
        <w:adjustRightInd w:val="0"/>
        <w:spacing w:line="560" w:lineRule="exact"/>
        <w:ind w:firstLineChars="196" w:firstLine="551"/>
        <w:rPr>
          <w:rFonts w:ascii="仿宋_GB2312" w:eastAsia="仿宋_GB2312"/>
          <w:b/>
          <w:sz w:val="28"/>
          <w:szCs w:val="28"/>
        </w:rPr>
      </w:pPr>
      <w:r>
        <w:rPr>
          <w:rFonts w:ascii="仿宋_GB2312" w:eastAsia="仿宋_GB2312" w:hint="eastAsia"/>
          <w:b/>
          <w:sz w:val="28"/>
          <w:szCs w:val="28"/>
        </w:rPr>
        <w:t>（一）</w:t>
      </w:r>
      <w:r w:rsidRPr="00CE1004">
        <w:rPr>
          <w:rFonts w:ascii="仿宋_GB2312" w:eastAsia="仿宋_GB2312" w:hint="eastAsia"/>
          <w:b/>
          <w:sz w:val="28"/>
          <w:szCs w:val="28"/>
        </w:rPr>
        <w:t>一般毒理试验</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在一般毒理试验中，应评价高比例药物代谢产物的潜在毒性，进</w:t>
      </w:r>
      <w:r w:rsidRPr="00CE1004">
        <w:rPr>
          <w:rFonts w:ascii="仿宋_GB2312" w:eastAsia="仿宋_GB2312" w:hint="eastAsia"/>
          <w:sz w:val="28"/>
          <w:szCs w:val="28"/>
        </w:rPr>
        <w:lastRenderedPageBreak/>
        <w:t>行代谢产物与其母体药物间的毒性比较。代谢产物直接给药的一般毒理试验的期限，可参考国内相关指导原则和ICH M3（支持药物进行人体试验需要的非临床安全性试验）技术指导原则。应在数倍于人体暴露量或者在至少与人体中检测到的暴露量相当水平下评价代谢产物的毒性。建议采用母体药物拟定的临床给药途径给药。但如果可以使高比例药物代谢产物达到足够的暴露量，也可以采用其他给药途径。如果临床给药途径为口服，确认代谢产物在胃液环境中的稳定性十分重要。为了保证高比例药物代谢产物的充分暴露，上述试验中需包括毒代动力学研究。</w:t>
      </w:r>
    </w:p>
    <w:p w:rsidR="00CA708D" w:rsidRPr="00CE1004" w:rsidRDefault="00CA708D" w:rsidP="00CA708D">
      <w:pPr>
        <w:adjustRightInd w:val="0"/>
        <w:spacing w:line="560" w:lineRule="exact"/>
        <w:ind w:firstLineChars="196" w:firstLine="551"/>
        <w:rPr>
          <w:rFonts w:ascii="仿宋_GB2312" w:eastAsia="仿宋_GB2312"/>
          <w:b/>
          <w:sz w:val="28"/>
          <w:szCs w:val="28"/>
        </w:rPr>
      </w:pPr>
      <w:r>
        <w:rPr>
          <w:rFonts w:ascii="仿宋_GB2312" w:eastAsia="仿宋_GB2312" w:hint="eastAsia"/>
          <w:b/>
          <w:sz w:val="28"/>
          <w:szCs w:val="28"/>
        </w:rPr>
        <w:t>（二）</w:t>
      </w:r>
      <w:r w:rsidRPr="00CE1004">
        <w:rPr>
          <w:rFonts w:ascii="仿宋_GB2312" w:eastAsia="仿宋_GB2312" w:hint="eastAsia"/>
          <w:b/>
          <w:sz w:val="28"/>
          <w:szCs w:val="28"/>
        </w:rPr>
        <w:t xml:space="preserve"> 遗传毒性试验</w:t>
      </w:r>
    </w:p>
    <w:p w:rsidR="00CA708D" w:rsidRPr="00906788" w:rsidRDefault="00CA708D" w:rsidP="00CA708D">
      <w:pPr>
        <w:autoSpaceDE w:val="0"/>
        <w:autoSpaceDN w:val="0"/>
        <w:adjustRightInd w:val="0"/>
        <w:spacing w:line="560" w:lineRule="exact"/>
        <w:ind w:firstLineChars="200" w:firstLine="560"/>
        <w:rPr>
          <w:rFonts w:ascii="仿宋_GB2312" w:eastAsia="仿宋_GB2312"/>
          <w:sz w:val="28"/>
          <w:szCs w:val="28"/>
        </w:rPr>
      </w:pPr>
      <w:r w:rsidRPr="00CE1004">
        <w:rPr>
          <w:rFonts w:ascii="仿宋_GB2312" w:eastAsia="仿宋_GB2312" w:hint="eastAsia"/>
          <w:sz w:val="28"/>
          <w:szCs w:val="28"/>
        </w:rPr>
        <w:t>需以一项检测点突变的体外试验和另外一项检测染色体畸变的试验来评价代谢产物的潜在遗传毒性。这些试验可参考SFDA</w:t>
      </w:r>
      <w:r>
        <w:rPr>
          <w:rFonts w:ascii="仿宋_GB2312" w:eastAsia="仿宋_GB2312" w:hint="eastAsia"/>
          <w:sz w:val="28"/>
          <w:szCs w:val="28"/>
        </w:rPr>
        <w:t>《</w:t>
      </w:r>
      <w:r w:rsidRPr="00CE1004">
        <w:rPr>
          <w:rFonts w:ascii="仿宋_GB2312" w:eastAsia="仿宋_GB2312" w:hint="eastAsia"/>
          <w:sz w:val="28"/>
          <w:szCs w:val="28"/>
        </w:rPr>
        <w:t>药物遗传毒性研究技术指导原则</w:t>
      </w:r>
      <w:r>
        <w:rPr>
          <w:rFonts w:ascii="仿宋_GB2312" w:eastAsia="仿宋_GB2312" w:hint="eastAsia"/>
          <w:sz w:val="28"/>
          <w:szCs w:val="28"/>
        </w:rPr>
        <w:t>》</w:t>
      </w:r>
      <w:r w:rsidRPr="00CE1004">
        <w:rPr>
          <w:rFonts w:ascii="仿宋_GB2312" w:eastAsia="仿宋_GB2312" w:hint="eastAsia"/>
          <w:sz w:val="28"/>
          <w:szCs w:val="28"/>
        </w:rPr>
        <w:t>。如果其中一项试验或两项试验结果是可疑和/或阳性时，可能需要进行完整的遗传毒性标准组合试验。</w:t>
      </w:r>
    </w:p>
    <w:p w:rsidR="00CA708D" w:rsidRPr="00CE1004" w:rsidRDefault="00CA708D" w:rsidP="00CA708D">
      <w:pPr>
        <w:adjustRightInd w:val="0"/>
        <w:spacing w:line="560" w:lineRule="exact"/>
        <w:ind w:firstLineChars="196" w:firstLine="551"/>
        <w:rPr>
          <w:rFonts w:ascii="仿宋_GB2312" w:eastAsia="仿宋_GB2312"/>
          <w:b/>
          <w:sz w:val="28"/>
          <w:szCs w:val="28"/>
        </w:rPr>
      </w:pPr>
      <w:r>
        <w:rPr>
          <w:rFonts w:ascii="仿宋_GB2312" w:eastAsia="仿宋_GB2312" w:hint="eastAsia"/>
          <w:b/>
          <w:sz w:val="28"/>
          <w:szCs w:val="28"/>
        </w:rPr>
        <w:t>（三）</w:t>
      </w:r>
      <w:r w:rsidRPr="00CE1004">
        <w:rPr>
          <w:rFonts w:ascii="仿宋_GB2312" w:eastAsia="仿宋_GB2312" w:hint="eastAsia"/>
          <w:b/>
          <w:sz w:val="28"/>
          <w:szCs w:val="28"/>
        </w:rPr>
        <w:t xml:space="preserve"> 胚胎-胎仔发育毒性试验</w:t>
      </w:r>
    </w:p>
    <w:p w:rsidR="00CA708D" w:rsidRPr="00CE1004" w:rsidRDefault="00CA708D" w:rsidP="00CA708D">
      <w:pPr>
        <w:autoSpaceDE w:val="0"/>
        <w:autoSpaceDN w:val="0"/>
        <w:adjustRightInd w:val="0"/>
        <w:spacing w:line="560" w:lineRule="exact"/>
        <w:ind w:firstLineChars="200" w:firstLine="560"/>
        <w:rPr>
          <w:rFonts w:ascii="仿宋_GB2312" w:eastAsia="仿宋_GB2312"/>
          <w:sz w:val="28"/>
          <w:szCs w:val="28"/>
        </w:rPr>
      </w:pPr>
      <w:r w:rsidRPr="00CE1004">
        <w:rPr>
          <w:rFonts w:ascii="仿宋_GB2312" w:eastAsia="仿宋_GB2312" w:hint="eastAsia"/>
          <w:sz w:val="28"/>
          <w:szCs w:val="28"/>
        </w:rPr>
        <w:t>如果药物拟定的用药人群包括有生育可能的妇女时，需进行代谢产物的胚胎-胎仔发育毒性试验。根据一般毒理试验和胚胎-胎仔发育毒性试验的结果，在具体问题具体分析的基础上，可能会要求进行其他生殖毒性试验。这些试验可参考SFDA</w:t>
      </w:r>
      <w:r>
        <w:rPr>
          <w:rFonts w:ascii="仿宋_GB2312" w:eastAsia="仿宋_GB2312" w:hint="eastAsia"/>
          <w:sz w:val="28"/>
          <w:szCs w:val="28"/>
        </w:rPr>
        <w:t>《</w:t>
      </w:r>
      <w:r w:rsidRPr="00CE1004">
        <w:rPr>
          <w:rFonts w:ascii="仿宋_GB2312" w:eastAsia="仿宋_GB2312" w:hint="eastAsia"/>
          <w:sz w:val="28"/>
          <w:szCs w:val="28"/>
        </w:rPr>
        <w:t>生殖毒性研究技术指导原则</w:t>
      </w:r>
      <w:r>
        <w:rPr>
          <w:rFonts w:ascii="仿宋_GB2312" w:eastAsia="仿宋_GB2312" w:hint="eastAsia"/>
          <w:sz w:val="28"/>
          <w:szCs w:val="28"/>
        </w:rPr>
        <w:t>》</w:t>
      </w:r>
      <w:r w:rsidRPr="00CE1004">
        <w:rPr>
          <w:rFonts w:ascii="仿宋_GB2312" w:eastAsia="仿宋_GB2312" w:hint="eastAsia"/>
          <w:sz w:val="28"/>
          <w:szCs w:val="28"/>
        </w:rPr>
        <w:t>。某些情况下，可仅在一种能形成该代谢产物的动物种属中进行胚胎-胎仔发育毒性试验。</w:t>
      </w:r>
    </w:p>
    <w:p w:rsidR="00CA708D" w:rsidRPr="00CE1004" w:rsidRDefault="00CA708D" w:rsidP="00CA708D">
      <w:pPr>
        <w:adjustRightInd w:val="0"/>
        <w:spacing w:line="560" w:lineRule="exact"/>
        <w:ind w:firstLineChars="196" w:firstLine="551"/>
        <w:rPr>
          <w:rFonts w:ascii="仿宋_GB2312" w:eastAsia="仿宋_GB2312"/>
          <w:b/>
          <w:sz w:val="28"/>
          <w:szCs w:val="28"/>
        </w:rPr>
      </w:pPr>
      <w:r>
        <w:rPr>
          <w:rFonts w:ascii="仿宋_GB2312" w:eastAsia="仿宋_GB2312" w:hint="eastAsia"/>
          <w:b/>
          <w:sz w:val="28"/>
          <w:szCs w:val="28"/>
        </w:rPr>
        <w:t>（四）</w:t>
      </w:r>
      <w:r w:rsidRPr="00CE1004">
        <w:rPr>
          <w:rFonts w:ascii="仿宋_GB2312" w:eastAsia="仿宋_GB2312" w:hint="eastAsia"/>
          <w:b/>
          <w:sz w:val="28"/>
          <w:szCs w:val="28"/>
        </w:rPr>
        <w:t>致癌性试验</w:t>
      </w:r>
    </w:p>
    <w:p w:rsidR="00CA708D" w:rsidRPr="00CE1004" w:rsidRDefault="00CA708D" w:rsidP="00CA708D">
      <w:pPr>
        <w:autoSpaceDE w:val="0"/>
        <w:autoSpaceDN w:val="0"/>
        <w:adjustRightInd w:val="0"/>
        <w:spacing w:line="560" w:lineRule="exact"/>
        <w:ind w:firstLineChars="200" w:firstLine="560"/>
        <w:rPr>
          <w:rFonts w:ascii="仿宋_GB2312" w:eastAsia="仿宋_GB2312"/>
          <w:sz w:val="28"/>
          <w:szCs w:val="28"/>
        </w:rPr>
      </w:pPr>
      <w:r w:rsidRPr="00CE1004">
        <w:rPr>
          <w:rFonts w:ascii="仿宋_GB2312" w:eastAsia="仿宋_GB2312" w:hint="eastAsia"/>
          <w:sz w:val="28"/>
          <w:szCs w:val="28"/>
        </w:rPr>
        <w:t>药物连续用药至少6个月，或需间歇用药用于治疗慢性或周期性复</w:t>
      </w:r>
      <w:r w:rsidRPr="00CE1004">
        <w:rPr>
          <w:rFonts w:ascii="仿宋_GB2312" w:eastAsia="仿宋_GB2312" w:hint="eastAsia"/>
          <w:sz w:val="28"/>
          <w:szCs w:val="28"/>
        </w:rPr>
        <w:lastRenderedPageBreak/>
        <w:t>发疾病，如果在母体药物的致癌性试验中不能对代谢产物的致癌性潜力进行充分评价，则应该进行代谢产物的致癌性试验。这些试验可参考SFDA</w:t>
      </w:r>
      <w:r>
        <w:rPr>
          <w:rFonts w:ascii="仿宋_GB2312" w:eastAsia="仿宋_GB2312" w:hint="eastAsia"/>
          <w:sz w:val="28"/>
          <w:szCs w:val="28"/>
        </w:rPr>
        <w:t>《</w:t>
      </w:r>
      <w:r w:rsidRPr="00CE1004">
        <w:rPr>
          <w:rFonts w:ascii="仿宋_GB2312" w:eastAsia="仿宋_GB2312" w:hint="eastAsia"/>
          <w:sz w:val="28"/>
          <w:szCs w:val="28"/>
        </w:rPr>
        <w:t>药物致癌试验必要性的技术指导原则</w:t>
      </w:r>
      <w:r>
        <w:rPr>
          <w:rFonts w:ascii="仿宋_GB2312" w:eastAsia="仿宋_GB2312" w:hint="eastAsia"/>
          <w:sz w:val="28"/>
          <w:szCs w:val="28"/>
        </w:rPr>
        <w:t>》</w:t>
      </w:r>
      <w:r w:rsidRPr="00CE1004">
        <w:rPr>
          <w:rFonts w:ascii="仿宋_GB2312" w:eastAsia="仿宋_GB2312" w:hint="eastAsia"/>
          <w:sz w:val="28"/>
          <w:szCs w:val="28"/>
        </w:rPr>
        <w:t>和国外的致癌性试验技术指导原则。</w:t>
      </w:r>
    </w:p>
    <w:p w:rsidR="00CA708D" w:rsidRPr="00CE1004" w:rsidRDefault="00CA708D" w:rsidP="00CA708D">
      <w:pPr>
        <w:adjustRightInd w:val="0"/>
        <w:spacing w:line="560" w:lineRule="exact"/>
        <w:ind w:firstLineChars="197" w:firstLine="552"/>
        <w:rPr>
          <w:rFonts w:ascii="黑体" w:eastAsia="黑体"/>
          <w:sz w:val="28"/>
          <w:szCs w:val="28"/>
        </w:rPr>
      </w:pPr>
      <w:r>
        <w:rPr>
          <w:rFonts w:ascii="黑体" w:eastAsia="黑体" w:hint="eastAsia"/>
          <w:sz w:val="28"/>
          <w:szCs w:val="28"/>
        </w:rPr>
        <w:t>六、</w:t>
      </w:r>
      <w:r w:rsidRPr="00CE1004">
        <w:rPr>
          <w:rFonts w:ascii="黑体" w:eastAsia="黑体" w:hint="eastAsia"/>
          <w:sz w:val="28"/>
          <w:szCs w:val="28"/>
        </w:rPr>
        <w:t>安全性研究的时间安排</w:t>
      </w:r>
    </w:p>
    <w:p w:rsidR="00CA708D" w:rsidRPr="00CE1004" w:rsidRDefault="00CA708D" w:rsidP="00CA708D">
      <w:pPr>
        <w:autoSpaceDE w:val="0"/>
        <w:autoSpaceDN w:val="0"/>
        <w:adjustRightInd w:val="0"/>
        <w:spacing w:line="560" w:lineRule="exact"/>
        <w:ind w:firstLineChars="200" w:firstLine="560"/>
        <w:rPr>
          <w:rFonts w:ascii="仿宋_GB2312" w:eastAsia="仿宋_GB2312"/>
          <w:sz w:val="28"/>
          <w:szCs w:val="28"/>
        </w:rPr>
      </w:pPr>
      <w:r w:rsidRPr="00CE1004">
        <w:rPr>
          <w:rFonts w:ascii="仿宋_GB2312" w:eastAsia="仿宋_GB2312" w:hint="eastAsia"/>
          <w:sz w:val="28"/>
          <w:szCs w:val="28"/>
        </w:rPr>
        <w:t>需尽早确证人体中可能存在的高比例药物代谢产物，这可以为非临床试验的合理性提供证明，有助于阐明和制订临床试验计划，并避免药物开发进程的延迟。通常首先采用体外试验来预测动物和人体的药物代谢差异，然后根据人体和动物的代谢差异来考虑是否需要开展药物代谢产物的安全性试验。如果在体外代谢研究提示有人体的高比例药物代谢产物，可考虑开展动物和人体的同位素标记法的代谢研究，为开展高比例药物代谢产物的临床前安全性研究提供依据。</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如果需要进行代谢产物的毒理学试验，应在大规模临床试验开始前完成这些试验，并向药品审评部门提交试验报告。</w:t>
      </w:r>
    </w:p>
    <w:p w:rsidR="00CA708D" w:rsidRPr="00CE1004" w:rsidRDefault="00CA708D" w:rsidP="00CA708D">
      <w:pPr>
        <w:autoSpaceDE w:val="0"/>
        <w:autoSpaceDN w:val="0"/>
        <w:adjustRightInd w:val="0"/>
        <w:spacing w:line="560" w:lineRule="exact"/>
        <w:ind w:firstLineChars="200" w:firstLine="560"/>
        <w:rPr>
          <w:rFonts w:ascii="仿宋_GB2312" w:eastAsia="仿宋_GB2312"/>
          <w:sz w:val="28"/>
          <w:szCs w:val="28"/>
        </w:rPr>
      </w:pPr>
      <w:r w:rsidRPr="00CE1004">
        <w:rPr>
          <w:rFonts w:ascii="仿宋_GB2312" w:eastAsia="仿宋_GB2312" w:hint="eastAsia"/>
          <w:sz w:val="28"/>
          <w:szCs w:val="28"/>
        </w:rPr>
        <w:t>为了优化和加快研发用于包括肿瘤疾病在内的其它严重或危及生命疾病（如ALS、中风、HIV）的药物，对于那些具有重大治疗利益的药物，以及用于尚缺乏有效治疗手段疾病的药物，代谢产物的非临床试验的数量和类型可根据具体情况具体分析的原则进行调整。晚期癌症患者治疗时，这些代谢产物并不要求必需开展单独的毒理评价。此种情况下，申办人应联系相关药品审评部门进行讨论。</w:t>
      </w:r>
    </w:p>
    <w:p w:rsidR="00CA708D" w:rsidRPr="006A66FE" w:rsidRDefault="00CA708D" w:rsidP="00CA708D">
      <w:pPr>
        <w:adjustRightInd w:val="0"/>
        <w:spacing w:line="560" w:lineRule="exact"/>
        <w:jc w:val="center"/>
        <w:rPr>
          <w:rFonts w:ascii="方正小标宋_GBK" w:eastAsia="方正小标宋_GBK"/>
          <w:sz w:val="36"/>
          <w:szCs w:val="36"/>
        </w:rPr>
      </w:pPr>
      <w:r w:rsidRPr="00CE1004">
        <w:rPr>
          <w:rFonts w:ascii="仿宋_GB2312" w:eastAsia="仿宋_GB2312" w:hint="eastAsia"/>
          <w:sz w:val="28"/>
          <w:szCs w:val="28"/>
        </w:rPr>
        <w:br w:type="page"/>
      </w:r>
      <w:r w:rsidRPr="006A66FE">
        <w:rPr>
          <w:rFonts w:ascii="方正小标宋_GBK" w:eastAsia="方正小标宋_GBK" w:hint="eastAsia"/>
          <w:sz w:val="36"/>
          <w:szCs w:val="36"/>
        </w:rPr>
        <w:lastRenderedPageBreak/>
        <w:t>词汇表</w:t>
      </w:r>
    </w:p>
    <w:p w:rsidR="00CA708D" w:rsidRPr="00176A4A" w:rsidRDefault="00CA708D" w:rsidP="00CA708D">
      <w:pPr>
        <w:adjustRightInd w:val="0"/>
        <w:spacing w:line="560" w:lineRule="exact"/>
        <w:jc w:val="center"/>
        <w:rPr>
          <w:rFonts w:ascii="黑体" w:eastAsia="黑体"/>
          <w:b/>
          <w:bCs/>
          <w:sz w:val="30"/>
          <w:szCs w:val="30"/>
        </w:rPr>
      </w:pPr>
    </w:p>
    <w:p w:rsidR="00CA708D" w:rsidRPr="00CE1004" w:rsidRDefault="00CA708D" w:rsidP="00CA708D">
      <w:pPr>
        <w:adjustRightInd w:val="0"/>
        <w:spacing w:line="560" w:lineRule="exact"/>
        <w:ind w:left="120" w:firstLineChars="200" w:firstLine="562"/>
        <w:rPr>
          <w:rFonts w:ascii="仿宋_GB2312" w:eastAsia="仿宋_GB2312"/>
          <w:b/>
          <w:sz w:val="28"/>
          <w:szCs w:val="28"/>
        </w:rPr>
      </w:pPr>
      <w:r w:rsidRPr="00CE1004">
        <w:rPr>
          <w:rFonts w:ascii="仿宋_GB2312" w:eastAsia="仿宋_GB2312" w:hint="eastAsia"/>
          <w:b/>
          <w:sz w:val="28"/>
          <w:szCs w:val="28"/>
        </w:rPr>
        <w:t>高比例药物代谢产物（Disproportionate drug metabolite）：</w:t>
      </w:r>
      <w:r w:rsidRPr="00CE1004">
        <w:rPr>
          <w:rFonts w:ascii="仿宋_GB2312" w:eastAsia="仿宋_GB2312" w:hint="eastAsia"/>
          <w:sz w:val="28"/>
          <w:szCs w:val="28"/>
        </w:rPr>
        <w:t>仅在人体存在的代谢产物，或在人体循环系统的暴露量显著高于非临床试验所用动物中暴露量的代谢产物。一般情况下，以稳态的曲线下面积（AUC）来计算。血浆水平中高于人体总体药物系统暴露量10%的代谢产物应给予关注。</w:t>
      </w:r>
    </w:p>
    <w:p w:rsidR="00CA708D" w:rsidRPr="00CE1004" w:rsidRDefault="00CA708D" w:rsidP="00CA708D">
      <w:pPr>
        <w:adjustRightInd w:val="0"/>
        <w:spacing w:line="560" w:lineRule="exact"/>
        <w:ind w:left="120" w:firstLineChars="200" w:firstLine="562"/>
        <w:rPr>
          <w:rFonts w:ascii="仿宋_GB2312" w:eastAsia="仿宋_GB2312"/>
          <w:sz w:val="28"/>
          <w:szCs w:val="28"/>
        </w:rPr>
      </w:pPr>
      <w:r w:rsidRPr="00CE1004">
        <w:rPr>
          <w:rFonts w:ascii="仿宋_GB2312" w:eastAsia="仿宋_GB2312" w:hint="eastAsia"/>
          <w:b/>
          <w:sz w:val="28"/>
          <w:szCs w:val="28"/>
        </w:rPr>
        <w:t>代谢产物（Metabolite）：</w:t>
      </w:r>
      <w:r w:rsidRPr="00CE1004">
        <w:rPr>
          <w:rFonts w:ascii="仿宋_GB2312" w:eastAsia="仿宋_GB2312" w:hint="eastAsia"/>
          <w:sz w:val="28"/>
          <w:szCs w:val="28"/>
        </w:rPr>
        <w:t>母体药物经过I和/或II相代谢途径产生的物质。</w:t>
      </w:r>
    </w:p>
    <w:p w:rsidR="00CA708D" w:rsidRPr="00CE1004" w:rsidRDefault="00CA708D" w:rsidP="00CA708D">
      <w:pPr>
        <w:adjustRightInd w:val="0"/>
        <w:spacing w:line="560" w:lineRule="exact"/>
        <w:ind w:left="120" w:firstLineChars="200" w:firstLine="562"/>
        <w:rPr>
          <w:rFonts w:ascii="仿宋_GB2312" w:eastAsia="仿宋_GB2312"/>
          <w:sz w:val="28"/>
          <w:szCs w:val="28"/>
        </w:rPr>
      </w:pPr>
      <w:r w:rsidRPr="00CE1004">
        <w:rPr>
          <w:rFonts w:ascii="仿宋_GB2312" w:eastAsia="仿宋_GB2312" w:hint="eastAsia"/>
          <w:b/>
          <w:sz w:val="28"/>
          <w:szCs w:val="28"/>
        </w:rPr>
        <w:t>药理活性代谢产物（Pharmacologically active metabolite）：</w:t>
      </w:r>
      <w:r w:rsidRPr="00CE1004">
        <w:rPr>
          <w:rFonts w:ascii="仿宋_GB2312" w:eastAsia="仿宋_GB2312" w:hint="eastAsia"/>
          <w:sz w:val="28"/>
          <w:szCs w:val="28"/>
        </w:rPr>
        <w:t>在靶受体具有药理学活性的代谢产物，其活性可能高于、等于或低于母体药物。</w:t>
      </w:r>
    </w:p>
    <w:p w:rsidR="00CA708D" w:rsidRPr="00CE1004" w:rsidRDefault="00CA708D" w:rsidP="00CA708D">
      <w:pPr>
        <w:adjustRightInd w:val="0"/>
        <w:spacing w:line="560" w:lineRule="exact"/>
        <w:ind w:left="120" w:firstLineChars="200" w:firstLine="560"/>
        <w:rPr>
          <w:rFonts w:ascii="仿宋_GB2312" w:eastAsia="仿宋_GB2312"/>
          <w:sz w:val="28"/>
          <w:szCs w:val="28"/>
        </w:rPr>
      </w:pPr>
    </w:p>
    <w:p w:rsidR="00CA708D" w:rsidRPr="006A66FE" w:rsidRDefault="00CA708D" w:rsidP="00CA708D">
      <w:pPr>
        <w:adjustRightInd w:val="0"/>
        <w:spacing w:line="560" w:lineRule="exact"/>
        <w:rPr>
          <w:rFonts w:ascii="仿宋_GB2312" w:eastAsia="仿宋_GB2312"/>
          <w:sz w:val="28"/>
          <w:szCs w:val="28"/>
        </w:rPr>
      </w:pPr>
      <w:r w:rsidRPr="00CE1004">
        <w:rPr>
          <w:rFonts w:ascii="仿宋_GB2312" w:eastAsia="仿宋_GB2312" w:hint="eastAsia"/>
          <w:sz w:val="28"/>
          <w:szCs w:val="28"/>
        </w:rPr>
        <w:br w:type="page"/>
      </w:r>
      <w:r w:rsidRPr="006A66FE">
        <w:rPr>
          <w:rFonts w:ascii="仿宋_GB2312" w:eastAsia="仿宋_GB2312" w:hint="eastAsia"/>
          <w:sz w:val="28"/>
          <w:szCs w:val="28"/>
        </w:rPr>
        <w:lastRenderedPageBreak/>
        <w:t>附录A</w:t>
      </w:r>
    </w:p>
    <w:p w:rsidR="00CA708D" w:rsidRPr="006A66FE" w:rsidRDefault="00CA708D" w:rsidP="00CA708D">
      <w:pPr>
        <w:adjustRightInd w:val="0"/>
        <w:spacing w:line="560" w:lineRule="exact"/>
        <w:ind w:left="120" w:firstLineChars="200" w:firstLine="720"/>
        <w:jc w:val="center"/>
        <w:rPr>
          <w:rFonts w:ascii="方正小标宋_GBK" w:eastAsia="方正小标宋_GBK"/>
          <w:sz w:val="36"/>
          <w:szCs w:val="36"/>
        </w:rPr>
      </w:pPr>
      <w:r w:rsidRPr="006A66FE">
        <w:rPr>
          <w:rFonts w:ascii="方正小标宋_GBK" w:eastAsia="方正小标宋_GBK" w:hint="eastAsia"/>
          <w:bCs/>
          <w:sz w:val="36"/>
          <w:szCs w:val="36"/>
        </w:rPr>
        <w:t>决策流程图</w:t>
      </w:r>
    </w:p>
    <w:p w:rsidR="00CA708D" w:rsidRPr="00CE1004" w:rsidRDefault="00CA708D" w:rsidP="00CA708D">
      <w:pPr>
        <w:adjustRightInd w:val="0"/>
        <w:spacing w:line="560" w:lineRule="exact"/>
        <w:ind w:left="120"/>
        <w:jc w:val="center"/>
        <w:rPr>
          <w:rFonts w:ascii="仿宋_GB2312" w:eastAsia="仿宋_GB2312"/>
          <w:b/>
          <w:bCs/>
          <w:sz w:val="28"/>
          <w:szCs w:val="28"/>
        </w:rPr>
      </w:pPr>
    </w:p>
    <w:tbl>
      <w:tblPr>
        <w:tblW w:w="0" w:type="auto"/>
        <w:tblInd w:w="120" w:type="dxa"/>
        <w:tblLayout w:type="fixed"/>
        <w:tblLook w:val="04A0" w:firstRow="1" w:lastRow="0" w:firstColumn="1" w:lastColumn="0" w:noHBand="0" w:noVBand="1"/>
      </w:tblPr>
      <w:tblGrid>
        <w:gridCol w:w="1750"/>
        <w:gridCol w:w="5241"/>
        <w:gridCol w:w="1751"/>
      </w:tblGrid>
      <w:tr w:rsidR="00CA708D" w:rsidRPr="00A86FC7" w:rsidTr="001C7079">
        <w:tc>
          <w:tcPr>
            <w:tcW w:w="1750" w:type="dxa"/>
            <w:tcBorders>
              <w:right w:val="single" w:sz="4" w:space="0" w:color="auto"/>
            </w:tcBorders>
          </w:tcPr>
          <w:p w:rsidR="00CA708D" w:rsidRPr="00A86FC7" w:rsidRDefault="00CA708D" w:rsidP="001C7079">
            <w:pPr>
              <w:adjustRightInd w:val="0"/>
              <w:spacing w:line="560" w:lineRule="exact"/>
              <w:jc w:val="center"/>
              <w:rPr>
                <w:rFonts w:ascii="宋体" w:hAnsi="宋体"/>
                <w:szCs w:val="21"/>
              </w:rPr>
            </w:pPr>
          </w:p>
        </w:tc>
        <w:tc>
          <w:tcPr>
            <w:tcW w:w="5241" w:type="dxa"/>
            <w:tcBorders>
              <w:top w:val="single" w:sz="4" w:space="0" w:color="auto"/>
              <w:left w:val="single" w:sz="4" w:space="0" w:color="auto"/>
              <w:bottom w:val="single" w:sz="4" w:space="0" w:color="auto"/>
              <w:right w:val="single" w:sz="4" w:space="0" w:color="auto"/>
            </w:tcBorders>
          </w:tcPr>
          <w:p w:rsidR="00CA708D" w:rsidRPr="00A86FC7" w:rsidRDefault="00CA708D" w:rsidP="001C7079">
            <w:pPr>
              <w:adjustRightInd w:val="0"/>
              <w:spacing w:line="560" w:lineRule="exact"/>
              <w:jc w:val="center"/>
              <w:rPr>
                <w:rFonts w:ascii="宋体" w:hAnsi="宋体"/>
                <w:szCs w:val="21"/>
              </w:rPr>
            </w:pPr>
            <w:r w:rsidRPr="00A86FC7">
              <w:rPr>
                <w:rFonts w:ascii="宋体" w:hAnsi="宋体" w:hint="eastAsia"/>
                <w:szCs w:val="21"/>
              </w:rPr>
              <w:t>高比例药物代谢产物</w:t>
            </w:r>
          </w:p>
          <w:p w:rsidR="00CA708D" w:rsidRPr="00A86FC7" w:rsidRDefault="00CA708D" w:rsidP="001C7079">
            <w:pPr>
              <w:adjustRightInd w:val="0"/>
              <w:spacing w:line="560" w:lineRule="exact"/>
              <w:jc w:val="center"/>
              <w:rPr>
                <w:rFonts w:ascii="宋体" w:hAnsi="宋体"/>
                <w:szCs w:val="21"/>
              </w:rPr>
            </w:pPr>
          </w:p>
        </w:tc>
        <w:tc>
          <w:tcPr>
            <w:tcW w:w="1751" w:type="dxa"/>
            <w:tcBorders>
              <w:left w:val="single" w:sz="4" w:space="0" w:color="auto"/>
            </w:tcBorders>
          </w:tcPr>
          <w:p w:rsidR="00CA708D" w:rsidRPr="00A86FC7" w:rsidRDefault="00CA708D" w:rsidP="001C7079">
            <w:pPr>
              <w:adjustRightInd w:val="0"/>
              <w:spacing w:line="560" w:lineRule="exact"/>
              <w:jc w:val="center"/>
              <w:rPr>
                <w:rFonts w:ascii="宋体" w:hAnsi="宋体"/>
                <w:szCs w:val="21"/>
              </w:rPr>
            </w:pPr>
          </w:p>
        </w:tc>
      </w:tr>
    </w:tbl>
    <w:p w:rsidR="00CA708D" w:rsidRPr="00CE1004" w:rsidRDefault="00707543" w:rsidP="00CA708D">
      <w:pPr>
        <w:spacing w:line="240" w:lineRule="exact"/>
        <w:rPr>
          <w:rFonts w:ascii="仿宋_GB2312" w:eastAsia="仿宋_GB2312"/>
          <w:sz w:val="28"/>
          <w:szCs w:val="28"/>
        </w:rPr>
      </w:pPr>
      <w:r>
        <w:rPr>
          <w:rFonts w:ascii="仿宋_GB2312" w:eastAsia="仿宋_GB2312"/>
          <w:noProof/>
          <w:sz w:val="28"/>
          <w:szCs w:val="28"/>
        </w:rPr>
        <w:pict>
          <v:shapetype id="_x0000_t32" coordsize="21600,21600" o:spt="32" o:oned="t" path="m,l21600,21600e" filled="f">
            <v:path arrowok="t" fillok="f" o:connecttype="none"/>
            <o:lock v:ext="edit" shapetype="t"/>
          </v:shapetype>
          <v:shape id="_x0000_s1027" type="#_x0000_t32" style="position:absolute;left:0;text-align:left;margin-left:231.85pt;margin-top:.35pt;width:114.1pt;height:26.85pt;z-index:251653632;mso-position-horizontal-relative:text;mso-position-vertical-relative:text" o:connectortype="straight">
            <v:stroke endarrow="block"/>
          </v:shape>
        </w:pict>
      </w:r>
      <w:r>
        <w:rPr>
          <w:rFonts w:ascii="仿宋_GB2312" w:eastAsia="仿宋_GB2312"/>
          <w:noProof/>
          <w:sz w:val="28"/>
          <w:szCs w:val="28"/>
        </w:rPr>
        <w:pict>
          <v:shape id="_x0000_s1026" type="#_x0000_t32" style="position:absolute;left:0;text-align:left;margin-left:122.35pt;margin-top:.35pt;width:109.5pt;height:26.85pt;flip:x;z-index:251654656;mso-position-horizontal-relative:text;mso-position-vertical-relative:text" o:connectortype="straight">
            <v:stroke endarrow="block"/>
          </v:shape>
        </w:pict>
      </w:r>
    </w:p>
    <w:p w:rsidR="00CA708D" w:rsidRPr="00C44FE9" w:rsidRDefault="00CA708D" w:rsidP="00CA708D">
      <w:pPr>
        <w:spacing w:line="560" w:lineRule="exact"/>
        <w:rPr>
          <w:rFonts w:ascii="仿宋_GB2312" w:eastAsia="仿宋_GB2312"/>
          <w:sz w:val="10"/>
          <w:szCs w:val="10"/>
        </w:rPr>
      </w:pPr>
    </w:p>
    <w:tbl>
      <w:tblPr>
        <w:tblW w:w="0" w:type="auto"/>
        <w:tblInd w:w="120" w:type="dxa"/>
        <w:tblLook w:val="04A0" w:firstRow="1" w:lastRow="0" w:firstColumn="1" w:lastColumn="0" w:noHBand="0" w:noVBand="1"/>
      </w:tblPr>
      <w:tblGrid>
        <w:gridCol w:w="3501"/>
        <w:gridCol w:w="1737"/>
        <w:gridCol w:w="3504"/>
      </w:tblGrid>
      <w:tr w:rsidR="00CA708D" w:rsidRPr="00A86FC7" w:rsidTr="001C7079">
        <w:tc>
          <w:tcPr>
            <w:tcW w:w="3666" w:type="dxa"/>
            <w:tcBorders>
              <w:top w:val="single" w:sz="4" w:space="0" w:color="auto"/>
              <w:left w:val="single" w:sz="4" w:space="0" w:color="auto"/>
              <w:bottom w:val="single" w:sz="4" w:space="0" w:color="auto"/>
              <w:right w:val="single" w:sz="4" w:space="0" w:color="auto"/>
            </w:tcBorders>
          </w:tcPr>
          <w:p w:rsidR="00CA708D" w:rsidRPr="00A86FC7" w:rsidRDefault="00CA708D" w:rsidP="001C7079">
            <w:pPr>
              <w:adjustRightInd w:val="0"/>
              <w:spacing w:line="560" w:lineRule="exact"/>
              <w:jc w:val="center"/>
              <w:rPr>
                <w:rFonts w:ascii="宋体" w:hAnsi="宋体"/>
                <w:szCs w:val="21"/>
              </w:rPr>
            </w:pPr>
            <w:r w:rsidRPr="00A86FC7">
              <w:rPr>
                <w:rFonts w:ascii="宋体" w:hAnsi="宋体" w:hint="eastAsia"/>
                <w:szCs w:val="21"/>
              </w:rPr>
              <w:t>≤总体药物系统暴露量（AUC）的10%</w:t>
            </w:r>
          </w:p>
        </w:tc>
        <w:tc>
          <w:tcPr>
            <w:tcW w:w="1834" w:type="dxa"/>
            <w:tcBorders>
              <w:left w:val="single" w:sz="4" w:space="0" w:color="auto"/>
              <w:right w:val="single" w:sz="4" w:space="0" w:color="auto"/>
            </w:tcBorders>
          </w:tcPr>
          <w:p w:rsidR="00CA708D" w:rsidRPr="00A86FC7" w:rsidRDefault="00CA708D" w:rsidP="001C7079">
            <w:pPr>
              <w:adjustRightInd w:val="0"/>
              <w:spacing w:line="560" w:lineRule="exact"/>
              <w:jc w:val="center"/>
              <w:rPr>
                <w:rFonts w:ascii="宋体" w:hAnsi="宋体"/>
                <w:szCs w:val="21"/>
              </w:rPr>
            </w:pPr>
          </w:p>
        </w:tc>
        <w:tc>
          <w:tcPr>
            <w:tcW w:w="3668" w:type="dxa"/>
            <w:tcBorders>
              <w:top w:val="single" w:sz="4" w:space="0" w:color="auto"/>
              <w:left w:val="single" w:sz="4" w:space="0" w:color="auto"/>
              <w:bottom w:val="single" w:sz="4" w:space="0" w:color="auto"/>
              <w:right w:val="single" w:sz="4" w:space="0" w:color="auto"/>
            </w:tcBorders>
          </w:tcPr>
          <w:p w:rsidR="00CA708D" w:rsidRPr="00A86FC7" w:rsidRDefault="00CA708D" w:rsidP="001C7079">
            <w:pPr>
              <w:adjustRightInd w:val="0"/>
              <w:spacing w:line="560" w:lineRule="exact"/>
              <w:jc w:val="center"/>
              <w:rPr>
                <w:rFonts w:ascii="宋体" w:hAnsi="宋体"/>
                <w:szCs w:val="21"/>
              </w:rPr>
            </w:pPr>
            <w:r w:rsidRPr="00A86FC7">
              <w:rPr>
                <w:rFonts w:ascii="宋体" w:hAnsi="宋体" w:hint="eastAsia"/>
                <w:szCs w:val="21"/>
              </w:rPr>
              <w:t>&gt;总体药物系统暴露量（AUC）的10%</w:t>
            </w:r>
          </w:p>
        </w:tc>
      </w:tr>
    </w:tbl>
    <w:p w:rsidR="00CA708D" w:rsidRPr="00CE1004" w:rsidRDefault="00707543" w:rsidP="00CA708D">
      <w:pPr>
        <w:spacing w:line="560" w:lineRule="exact"/>
        <w:rPr>
          <w:rFonts w:ascii="仿宋_GB2312" w:eastAsia="仿宋_GB2312"/>
          <w:sz w:val="28"/>
          <w:szCs w:val="28"/>
        </w:rPr>
      </w:pPr>
      <w:r>
        <w:rPr>
          <w:rFonts w:ascii="仿宋_GB2312" w:eastAsia="仿宋_GB2312"/>
          <w:noProof/>
          <w:sz w:val="28"/>
          <w:szCs w:val="28"/>
        </w:rPr>
        <w:pict>
          <v:shape id="_x0000_s1030" type="#_x0000_t32" style="position:absolute;left:0;text-align:left;margin-left:363.7pt;margin-top:.45pt;width:1.5pt;height:26.85pt;z-index:251655680;mso-position-horizontal-relative:text;mso-position-vertical-relative:text" o:connectortype="straight">
            <v:stroke endarrow="block"/>
          </v:shape>
        </w:pict>
      </w:r>
      <w:r>
        <w:rPr>
          <w:rFonts w:ascii="仿宋_GB2312" w:eastAsia="仿宋_GB2312"/>
          <w:noProof/>
          <w:sz w:val="28"/>
          <w:szCs w:val="28"/>
        </w:rPr>
        <w:pict>
          <v:shape id="_x0000_s1028" type="#_x0000_t32" style="position:absolute;left:0;text-align:left;margin-left:86.35pt;margin-top:.45pt;width:0;height:23.85pt;z-index:251656704;mso-position-horizontal-relative:text;mso-position-vertical-relative:text" o:connectortype="straight">
            <v:stroke endarrow="block"/>
          </v:shape>
        </w:pict>
      </w:r>
    </w:p>
    <w:tbl>
      <w:tblPr>
        <w:tblW w:w="9010" w:type="dxa"/>
        <w:tblInd w:w="120" w:type="dxa"/>
        <w:tblLook w:val="04A0" w:firstRow="1" w:lastRow="0" w:firstColumn="1" w:lastColumn="0" w:noHBand="0" w:noVBand="1"/>
      </w:tblPr>
      <w:tblGrid>
        <w:gridCol w:w="3948"/>
        <w:gridCol w:w="1234"/>
        <w:gridCol w:w="3828"/>
      </w:tblGrid>
      <w:tr w:rsidR="00CA708D" w:rsidRPr="00A86FC7" w:rsidTr="001C7079">
        <w:trPr>
          <w:trHeight w:val="828"/>
        </w:trPr>
        <w:tc>
          <w:tcPr>
            <w:tcW w:w="3948" w:type="dxa"/>
            <w:tcBorders>
              <w:top w:val="single" w:sz="4" w:space="0" w:color="auto"/>
              <w:left w:val="single" w:sz="4" w:space="0" w:color="auto"/>
              <w:bottom w:val="single" w:sz="4" w:space="0" w:color="auto"/>
              <w:right w:val="single" w:sz="4" w:space="0" w:color="auto"/>
            </w:tcBorders>
          </w:tcPr>
          <w:p w:rsidR="00CA708D" w:rsidRPr="00A86FC7" w:rsidRDefault="00CA708D" w:rsidP="001C7079">
            <w:pPr>
              <w:adjustRightInd w:val="0"/>
              <w:spacing w:line="560" w:lineRule="exact"/>
              <w:jc w:val="center"/>
              <w:rPr>
                <w:rFonts w:ascii="宋体" w:hAnsi="宋体"/>
                <w:szCs w:val="21"/>
              </w:rPr>
            </w:pPr>
            <w:r w:rsidRPr="00A86FC7">
              <w:rPr>
                <w:rFonts w:ascii="宋体" w:hAnsi="宋体" w:hint="eastAsia"/>
                <w:szCs w:val="21"/>
              </w:rPr>
              <w:t>无需进一步试验评价代谢产物</w:t>
            </w:r>
          </w:p>
        </w:tc>
        <w:tc>
          <w:tcPr>
            <w:tcW w:w="1234" w:type="dxa"/>
            <w:tcBorders>
              <w:left w:val="single" w:sz="4" w:space="0" w:color="auto"/>
              <w:right w:val="single" w:sz="4" w:space="0" w:color="auto"/>
            </w:tcBorders>
          </w:tcPr>
          <w:p w:rsidR="00CA708D" w:rsidRPr="00A86FC7" w:rsidRDefault="00CA708D" w:rsidP="001C7079">
            <w:pPr>
              <w:adjustRightInd w:val="0"/>
              <w:spacing w:line="560" w:lineRule="exact"/>
              <w:jc w:val="center"/>
              <w:rPr>
                <w:rFonts w:ascii="宋体" w:hAnsi="宋体"/>
                <w:szCs w:val="21"/>
              </w:rPr>
            </w:pPr>
          </w:p>
        </w:tc>
        <w:tc>
          <w:tcPr>
            <w:tcW w:w="3828" w:type="dxa"/>
            <w:tcBorders>
              <w:top w:val="single" w:sz="4" w:space="0" w:color="auto"/>
              <w:left w:val="single" w:sz="4" w:space="0" w:color="auto"/>
              <w:bottom w:val="single" w:sz="4" w:space="0" w:color="auto"/>
              <w:right w:val="single" w:sz="4" w:space="0" w:color="auto"/>
            </w:tcBorders>
          </w:tcPr>
          <w:p w:rsidR="00CA708D" w:rsidRPr="00A86FC7" w:rsidRDefault="00CA708D" w:rsidP="001C7079">
            <w:pPr>
              <w:adjustRightInd w:val="0"/>
              <w:spacing w:line="560" w:lineRule="exact"/>
              <w:jc w:val="center"/>
              <w:rPr>
                <w:rFonts w:ascii="宋体" w:hAnsi="宋体"/>
                <w:szCs w:val="21"/>
              </w:rPr>
            </w:pPr>
            <w:r w:rsidRPr="00A86FC7">
              <w:rPr>
                <w:rFonts w:ascii="宋体" w:hAnsi="宋体" w:hint="eastAsia"/>
                <w:szCs w:val="21"/>
              </w:rPr>
              <w:t>是否会在一种动物种属中形成？</w:t>
            </w:r>
          </w:p>
        </w:tc>
      </w:tr>
    </w:tbl>
    <w:p w:rsidR="00CA708D" w:rsidRPr="00CE1004" w:rsidRDefault="00707543" w:rsidP="00CA708D">
      <w:pPr>
        <w:spacing w:line="560" w:lineRule="exact"/>
        <w:rPr>
          <w:rFonts w:ascii="仿宋_GB2312" w:eastAsia="仿宋_GB2312"/>
          <w:sz w:val="28"/>
          <w:szCs w:val="28"/>
        </w:rPr>
      </w:pPr>
      <w:r>
        <w:rPr>
          <w:rFonts w:ascii="仿宋_GB2312" w:eastAsia="仿宋_GB2312"/>
          <w:noProof/>
          <w:sz w:val="28"/>
          <w:szCs w:val="28"/>
        </w:rPr>
        <w:pict>
          <v:shape id="_x0000_s1032" type="#_x0000_t32" style="position:absolute;left:0;text-align:left;margin-left:345.95pt;margin-top:0;width:27.35pt;height:25.35pt;z-index:251657728;mso-position-horizontal-relative:text;mso-position-vertical-relative:text" o:connectortype="straight">
            <v:stroke endarrow="block"/>
          </v:shape>
        </w:pict>
      </w:r>
      <w:r>
        <w:rPr>
          <w:rFonts w:ascii="仿宋_GB2312" w:eastAsia="仿宋_GB2312"/>
          <w:noProof/>
          <w:sz w:val="28"/>
          <w:szCs w:val="28"/>
        </w:rPr>
        <w:pict>
          <v:shape id="_x0000_s1031" type="#_x0000_t32" style="position:absolute;left:0;text-align:left;margin-left:215.65pt;margin-top:0;width:130.3pt;height:25.35pt;flip:x;z-index:251658752;mso-position-horizontal-relative:text;mso-position-vertical-relative:text" o:connectortype="straight">
            <v:stroke endarrow="block"/>
          </v:shape>
        </w:pict>
      </w:r>
    </w:p>
    <w:tbl>
      <w:tblPr>
        <w:tblW w:w="0" w:type="auto"/>
        <w:tblInd w:w="120" w:type="dxa"/>
        <w:tblLook w:val="04A0" w:firstRow="1" w:lastRow="0" w:firstColumn="1" w:lastColumn="0" w:noHBand="0" w:noVBand="1"/>
      </w:tblPr>
      <w:tblGrid>
        <w:gridCol w:w="3477"/>
        <w:gridCol w:w="1097"/>
        <w:gridCol w:w="280"/>
        <w:gridCol w:w="3888"/>
      </w:tblGrid>
      <w:tr w:rsidR="00CA708D" w:rsidRPr="00A86FC7" w:rsidTr="001C7079">
        <w:tc>
          <w:tcPr>
            <w:tcW w:w="3477" w:type="dxa"/>
            <w:tcBorders>
              <w:right w:val="single" w:sz="4" w:space="0" w:color="auto"/>
            </w:tcBorders>
            <w:vAlign w:val="center"/>
          </w:tcPr>
          <w:p w:rsidR="00CA708D" w:rsidRPr="00A86FC7" w:rsidRDefault="00CA708D" w:rsidP="001C7079">
            <w:pPr>
              <w:adjustRightInd w:val="0"/>
              <w:spacing w:line="560" w:lineRule="exact"/>
              <w:jc w:val="center"/>
              <w:rPr>
                <w:rFonts w:ascii="宋体" w:hAnsi="宋体"/>
                <w:szCs w:val="21"/>
              </w:rPr>
            </w:pPr>
          </w:p>
        </w:tc>
        <w:tc>
          <w:tcPr>
            <w:tcW w:w="1097" w:type="dxa"/>
            <w:tcBorders>
              <w:top w:val="single" w:sz="4" w:space="0" w:color="auto"/>
              <w:left w:val="single" w:sz="4" w:space="0" w:color="auto"/>
              <w:bottom w:val="single" w:sz="4" w:space="0" w:color="auto"/>
              <w:right w:val="single" w:sz="4" w:space="0" w:color="auto"/>
            </w:tcBorders>
            <w:vAlign w:val="center"/>
          </w:tcPr>
          <w:p w:rsidR="00CA708D" w:rsidRPr="00A86FC7" w:rsidRDefault="00CA708D" w:rsidP="001C7079">
            <w:pPr>
              <w:adjustRightInd w:val="0"/>
              <w:spacing w:line="560" w:lineRule="exact"/>
              <w:jc w:val="center"/>
              <w:rPr>
                <w:rFonts w:ascii="宋体" w:hAnsi="宋体"/>
                <w:szCs w:val="21"/>
              </w:rPr>
            </w:pPr>
            <w:r w:rsidRPr="00A86FC7">
              <w:rPr>
                <w:rFonts w:ascii="宋体" w:hAnsi="宋体" w:hint="eastAsia"/>
                <w:szCs w:val="21"/>
              </w:rPr>
              <w:t>否</w:t>
            </w:r>
          </w:p>
        </w:tc>
        <w:tc>
          <w:tcPr>
            <w:tcW w:w="280" w:type="dxa"/>
            <w:tcBorders>
              <w:left w:val="single" w:sz="4" w:space="0" w:color="auto"/>
              <w:right w:val="single" w:sz="4" w:space="0" w:color="auto"/>
            </w:tcBorders>
            <w:vAlign w:val="center"/>
          </w:tcPr>
          <w:p w:rsidR="00CA708D" w:rsidRPr="00A86FC7" w:rsidRDefault="00CA708D" w:rsidP="001C7079">
            <w:pPr>
              <w:adjustRightInd w:val="0"/>
              <w:spacing w:line="560" w:lineRule="exact"/>
              <w:jc w:val="center"/>
              <w:rPr>
                <w:rFonts w:ascii="宋体" w:hAnsi="宋体"/>
                <w:szCs w:val="21"/>
              </w:rPr>
            </w:pPr>
          </w:p>
        </w:tc>
        <w:tc>
          <w:tcPr>
            <w:tcW w:w="3888" w:type="dxa"/>
            <w:tcBorders>
              <w:top w:val="single" w:sz="4" w:space="0" w:color="auto"/>
              <w:left w:val="single" w:sz="4" w:space="0" w:color="auto"/>
              <w:bottom w:val="single" w:sz="4" w:space="0" w:color="auto"/>
              <w:right w:val="single" w:sz="4" w:space="0" w:color="auto"/>
            </w:tcBorders>
            <w:vAlign w:val="center"/>
          </w:tcPr>
          <w:p w:rsidR="00CA708D" w:rsidRPr="00A86FC7" w:rsidRDefault="00CA708D" w:rsidP="001C7079">
            <w:pPr>
              <w:adjustRightInd w:val="0"/>
              <w:spacing w:line="560" w:lineRule="exact"/>
              <w:jc w:val="center"/>
              <w:rPr>
                <w:rFonts w:ascii="宋体" w:hAnsi="宋体"/>
                <w:szCs w:val="21"/>
              </w:rPr>
            </w:pPr>
            <w:r w:rsidRPr="00A86FC7">
              <w:rPr>
                <w:rFonts w:ascii="宋体" w:hAnsi="宋体" w:hint="eastAsia"/>
                <w:szCs w:val="21"/>
              </w:rPr>
              <w:t>是</w:t>
            </w:r>
          </w:p>
          <w:p w:rsidR="00CA708D" w:rsidRPr="00A86FC7" w:rsidRDefault="00CA708D" w:rsidP="001C7079">
            <w:pPr>
              <w:adjustRightInd w:val="0"/>
              <w:spacing w:line="560" w:lineRule="exact"/>
              <w:jc w:val="center"/>
              <w:rPr>
                <w:rFonts w:ascii="宋体" w:hAnsi="宋体"/>
                <w:szCs w:val="21"/>
              </w:rPr>
            </w:pPr>
            <w:r w:rsidRPr="00A86FC7">
              <w:rPr>
                <w:rFonts w:ascii="宋体" w:hAnsi="宋体" w:hint="eastAsia"/>
                <w:szCs w:val="21"/>
              </w:rPr>
              <w:t>形成多少？</w:t>
            </w:r>
          </w:p>
        </w:tc>
      </w:tr>
    </w:tbl>
    <w:p w:rsidR="00CA708D" w:rsidRPr="00CE1004" w:rsidRDefault="00707543" w:rsidP="00CA708D">
      <w:pPr>
        <w:spacing w:line="560" w:lineRule="exact"/>
        <w:rPr>
          <w:rFonts w:ascii="仿宋_GB2312" w:eastAsia="仿宋_GB2312"/>
          <w:sz w:val="28"/>
          <w:szCs w:val="28"/>
        </w:rPr>
      </w:pPr>
      <w:r>
        <w:rPr>
          <w:rFonts w:ascii="仿宋_GB2312" w:eastAsia="仿宋_GB2312"/>
          <w:noProof/>
          <w:sz w:val="28"/>
          <w:szCs w:val="28"/>
        </w:rPr>
        <w:pict>
          <v:shape id="_x0000_s1029" type="#_x0000_t32" style="position:absolute;left:0;text-align:left;margin-left:202.95pt;margin-top:-.3pt;width:4.05pt;height:138.3pt;z-index:251659776;mso-position-horizontal-relative:text;mso-position-vertical-relative:text" o:connectortype="straight">
            <v:stroke endarrow="block"/>
          </v:shape>
        </w:pict>
      </w:r>
      <w:r>
        <w:rPr>
          <w:rFonts w:ascii="仿宋_GB2312" w:eastAsia="仿宋_GB2312"/>
          <w:noProof/>
          <w:sz w:val="28"/>
          <w:szCs w:val="28"/>
        </w:rPr>
        <w:pict>
          <v:shape id="_x0000_s1034" type="#_x0000_t32" style="position:absolute;left:0;text-align:left;margin-left:345.95pt;margin-top:-.3pt;width:44.6pt;height:27.85pt;z-index:251660800;mso-position-horizontal-relative:text;mso-position-vertical-relative:text" o:connectortype="straight">
            <v:stroke endarrow="block"/>
          </v:shape>
        </w:pict>
      </w:r>
      <w:r>
        <w:rPr>
          <w:rFonts w:ascii="仿宋_GB2312" w:eastAsia="仿宋_GB2312"/>
          <w:noProof/>
          <w:sz w:val="28"/>
          <w:szCs w:val="28"/>
        </w:rPr>
        <w:pict>
          <v:shape id="_x0000_s1033" type="#_x0000_t32" style="position:absolute;left:0;text-align:left;margin-left:297.75pt;margin-top:-.3pt;width:45.65pt;height:27.85pt;flip:x;z-index:251661824;mso-position-horizontal-relative:text;mso-position-vertical-relative:text" o:connectortype="straight">
            <v:stroke endarrow="block"/>
          </v:shape>
        </w:pict>
      </w:r>
    </w:p>
    <w:tbl>
      <w:tblPr>
        <w:tblW w:w="0" w:type="auto"/>
        <w:tblInd w:w="120" w:type="dxa"/>
        <w:tblLook w:val="04A0" w:firstRow="1" w:lastRow="0" w:firstColumn="1" w:lastColumn="0" w:noHBand="0" w:noVBand="1"/>
      </w:tblPr>
      <w:tblGrid>
        <w:gridCol w:w="1742"/>
        <w:gridCol w:w="2926"/>
        <w:gridCol w:w="1792"/>
        <w:gridCol w:w="281"/>
        <w:gridCol w:w="2001"/>
      </w:tblGrid>
      <w:tr w:rsidR="00CA708D" w:rsidRPr="00A86FC7" w:rsidTr="001C7079">
        <w:tc>
          <w:tcPr>
            <w:tcW w:w="1742" w:type="dxa"/>
          </w:tcPr>
          <w:p w:rsidR="00CA708D" w:rsidRPr="00A86FC7" w:rsidRDefault="00CA708D" w:rsidP="001C7079">
            <w:pPr>
              <w:adjustRightInd w:val="0"/>
              <w:spacing w:line="480" w:lineRule="exact"/>
              <w:jc w:val="center"/>
              <w:rPr>
                <w:rFonts w:ascii="宋体" w:hAnsi="宋体"/>
                <w:szCs w:val="21"/>
              </w:rPr>
            </w:pPr>
          </w:p>
        </w:tc>
        <w:tc>
          <w:tcPr>
            <w:tcW w:w="2926" w:type="dxa"/>
            <w:tcBorders>
              <w:right w:val="single" w:sz="4" w:space="0" w:color="auto"/>
            </w:tcBorders>
          </w:tcPr>
          <w:p w:rsidR="00CA708D" w:rsidRPr="00A86FC7" w:rsidRDefault="00CA708D" w:rsidP="001C7079">
            <w:pPr>
              <w:adjustRightInd w:val="0"/>
              <w:spacing w:line="480" w:lineRule="exact"/>
              <w:jc w:val="center"/>
              <w:rPr>
                <w:rFonts w:ascii="宋体" w:hAnsi="宋体"/>
                <w:szCs w:val="21"/>
              </w:rPr>
            </w:pPr>
          </w:p>
        </w:tc>
        <w:tc>
          <w:tcPr>
            <w:tcW w:w="1792" w:type="dxa"/>
            <w:tcBorders>
              <w:top w:val="single" w:sz="4" w:space="0" w:color="auto"/>
              <w:left w:val="single" w:sz="4" w:space="0" w:color="auto"/>
              <w:bottom w:val="single" w:sz="4" w:space="0" w:color="auto"/>
              <w:right w:val="single" w:sz="4" w:space="0" w:color="auto"/>
            </w:tcBorders>
          </w:tcPr>
          <w:p w:rsidR="00CA708D" w:rsidRPr="00A86FC7" w:rsidRDefault="00CA708D" w:rsidP="001C7079">
            <w:pPr>
              <w:adjustRightInd w:val="0"/>
              <w:spacing w:line="480" w:lineRule="exact"/>
              <w:jc w:val="center"/>
              <w:rPr>
                <w:rFonts w:ascii="宋体" w:hAnsi="宋体"/>
                <w:szCs w:val="21"/>
              </w:rPr>
            </w:pPr>
            <w:r w:rsidRPr="00A86FC7">
              <w:rPr>
                <w:rFonts w:ascii="宋体" w:hAnsi="宋体" w:hint="eastAsia"/>
                <w:szCs w:val="21"/>
              </w:rPr>
              <w:t>在动物试验中的暴露量不能达到人体暴露量</w:t>
            </w:r>
          </w:p>
        </w:tc>
        <w:tc>
          <w:tcPr>
            <w:tcW w:w="281" w:type="dxa"/>
            <w:tcBorders>
              <w:left w:val="single" w:sz="4" w:space="0" w:color="auto"/>
              <w:right w:val="single" w:sz="4" w:space="0" w:color="auto"/>
            </w:tcBorders>
          </w:tcPr>
          <w:p w:rsidR="00CA708D" w:rsidRPr="00A86FC7" w:rsidRDefault="00CA708D" w:rsidP="001C7079">
            <w:pPr>
              <w:adjustRightInd w:val="0"/>
              <w:spacing w:line="480" w:lineRule="exact"/>
              <w:jc w:val="center"/>
              <w:rPr>
                <w:rFonts w:ascii="宋体" w:hAnsi="宋体"/>
                <w:szCs w:val="21"/>
              </w:rPr>
            </w:pPr>
          </w:p>
        </w:tc>
        <w:tc>
          <w:tcPr>
            <w:tcW w:w="2001" w:type="dxa"/>
            <w:tcBorders>
              <w:top w:val="single" w:sz="4" w:space="0" w:color="auto"/>
              <w:left w:val="single" w:sz="4" w:space="0" w:color="auto"/>
              <w:bottom w:val="single" w:sz="4" w:space="0" w:color="auto"/>
              <w:right w:val="single" w:sz="4" w:space="0" w:color="auto"/>
            </w:tcBorders>
          </w:tcPr>
          <w:p w:rsidR="00CA708D" w:rsidRPr="00A86FC7" w:rsidRDefault="00CA708D" w:rsidP="001C7079">
            <w:pPr>
              <w:adjustRightInd w:val="0"/>
              <w:spacing w:line="480" w:lineRule="exact"/>
              <w:jc w:val="center"/>
              <w:rPr>
                <w:rFonts w:ascii="宋体" w:hAnsi="宋体"/>
                <w:szCs w:val="21"/>
              </w:rPr>
            </w:pPr>
            <w:r w:rsidRPr="00A86FC7">
              <w:rPr>
                <w:rFonts w:ascii="宋体" w:hAnsi="宋体" w:hint="eastAsia"/>
                <w:szCs w:val="21"/>
              </w:rPr>
              <w:t>在动物试验中的暴露量能达到人体暴露量</w:t>
            </w:r>
          </w:p>
        </w:tc>
      </w:tr>
    </w:tbl>
    <w:tbl>
      <w:tblPr>
        <w:tblpPr w:leftFromText="180" w:rightFromText="180" w:vertAnchor="text" w:horzAnchor="margin" w:tblpY="841"/>
        <w:tblW w:w="0" w:type="auto"/>
        <w:tblLook w:val="04A0" w:firstRow="1" w:lastRow="0" w:firstColumn="1" w:lastColumn="0" w:noHBand="0" w:noVBand="1"/>
      </w:tblPr>
      <w:tblGrid>
        <w:gridCol w:w="1741"/>
        <w:gridCol w:w="1742"/>
        <w:gridCol w:w="1774"/>
        <w:gridCol w:w="1484"/>
        <w:gridCol w:w="2001"/>
      </w:tblGrid>
      <w:tr w:rsidR="00CA708D" w:rsidRPr="00A86FC7" w:rsidTr="001C7079">
        <w:tc>
          <w:tcPr>
            <w:tcW w:w="1741" w:type="dxa"/>
          </w:tcPr>
          <w:p w:rsidR="00CA708D" w:rsidRPr="00A86FC7" w:rsidRDefault="00CA708D" w:rsidP="001C7079">
            <w:pPr>
              <w:adjustRightInd w:val="0"/>
              <w:spacing w:line="480" w:lineRule="exact"/>
              <w:jc w:val="center"/>
              <w:rPr>
                <w:rFonts w:ascii="宋体" w:hAnsi="宋体"/>
                <w:szCs w:val="21"/>
              </w:rPr>
            </w:pPr>
          </w:p>
        </w:tc>
        <w:tc>
          <w:tcPr>
            <w:tcW w:w="1742" w:type="dxa"/>
            <w:tcBorders>
              <w:right w:val="single" w:sz="4" w:space="0" w:color="auto"/>
            </w:tcBorders>
          </w:tcPr>
          <w:p w:rsidR="00CA708D" w:rsidRPr="00A86FC7" w:rsidRDefault="00CA708D" w:rsidP="001C7079">
            <w:pPr>
              <w:adjustRightInd w:val="0"/>
              <w:spacing w:line="480" w:lineRule="exact"/>
              <w:jc w:val="center"/>
              <w:rPr>
                <w:rFonts w:ascii="宋体" w:hAnsi="宋体"/>
                <w:szCs w:val="21"/>
              </w:rPr>
            </w:pPr>
          </w:p>
        </w:tc>
        <w:tc>
          <w:tcPr>
            <w:tcW w:w="1774" w:type="dxa"/>
            <w:tcBorders>
              <w:top w:val="single" w:sz="4" w:space="0" w:color="auto"/>
              <w:left w:val="single" w:sz="4" w:space="0" w:color="auto"/>
              <w:bottom w:val="single" w:sz="4" w:space="0" w:color="auto"/>
              <w:right w:val="single" w:sz="4" w:space="0" w:color="auto"/>
            </w:tcBorders>
          </w:tcPr>
          <w:p w:rsidR="00CA708D" w:rsidRPr="00A86FC7" w:rsidRDefault="00CA708D" w:rsidP="001C7079">
            <w:pPr>
              <w:adjustRightInd w:val="0"/>
              <w:spacing w:line="480" w:lineRule="exact"/>
              <w:jc w:val="center"/>
              <w:rPr>
                <w:rFonts w:ascii="宋体" w:hAnsi="宋体"/>
                <w:szCs w:val="21"/>
              </w:rPr>
            </w:pPr>
            <w:r w:rsidRPr="00A86FC7">
              <w:rPr>
                <w:rFonts w:ascii="宋体" w:hAnsi="宋体" w:hint="eastAsia"/>
                <w:szCs w:val="21"/>
              </w:rPr>
              <w:t>进行代谢产物的非临床试验</w:t>
            </w:r>
          </w:p>
        </w:tc>
        <w:tc>
          <w:tcPr>
            <w:tcW w:w="1484" w:type="dxa"/>
            <w:tcBorders>
              <w:left w:val="single" w:sz="4" w:space="0" w:color="auto"/>
              <w:right w:val="single" w:sz="4" w:space="0" w:color="auto"/>
            </w:tcBorders>
          </w:tcPr>
          <w:p w:rsidR="00CA708D" w:rsidRPr="00A86FC7" w:rsidRDefault="00CA708D" w:rsidP="001C7079">
            <w:pPr>
              <w:adjustRightInd w:val="0"/>
              <w:spacing w:line="480" w:lineRule="exact"/>
              <w:jc w:val="center"/>
              <w:rPr>
                <w:rFonts w:ascii="宋体" w:hAnsi="宋体"/>
                <w:szCs w:val="21"/>
              </w:rPr>
            </w:pPr>
          </w:p>
        </w:tc>
        <w:tc>
          <w:tcPr>
            <w:tcW w:w="2001" w:type="dxa"/>
            <w:tcBorders>
              <w:top w:val="single" w:sz="4" w:space="0" w:color="auto"/>
              <w:left w:val="single" w:sz="4" w:space="0" w:color="auto"/>
              <w:bottom w:val="single" w:sz="4" w:space="0" w:color="auto"/>
              <w:right w:val="single" w:sz="4" w:space="0" w:color="auto"/>
            </w:tcBorders>
          </w:tcPr>
          <w:p w:rsidR="00CA708D" w:rsidRPr="00A86FC7" w:rsidRDefault="00CA708D" w:rsidP="001C7079">
            <w:pPr>
              <w:adjustRightInd w:val="0"/>
              <w:spacing w:line="480" w:lineRule="exact"/>
              <w:jc w:val="center"/>
              <w:rPr>
                <w:rFonts w:ascii="宋体" w:hAnsi="宋体"/>
                <w:szCs w:val="21"/>
              </w:rPr>
            </w:pPr>
            <w:r w:rsidRPr="00A86FC7">
              <w:rPr>
                <w:rFonts w:ascii="宋体" w:hAnsi="宋体" w:hint="eastAsia"/>
                <w:szCs w:val="21"/>
              </w:rPr>
              <w:t>不需要进一步的代谢产物的非临床试验</w:t>
            </w:r>
          </w:p>
        </w:tc>
      </w:tr>
    </w:tbl>
    <w:p w:rsidR="00CA708D" w:rsidRPr="00C44FE9" w:rsidRDefault="00CA708D" w:rsidP="00CA708D">
      <w:pPr>
        <w:adjustRightInd w:val="0"/>
        <w:spacing w:line="240" w:lineRule="exact"/>
        <w:ind w:left="119"/>
        <w:jc w:val="center"/>
        <w:rPr>
          <w:rFonts w:ascii="仿宋_GB2312" w:eastAsia="仿宋_GB2312"/>
          <w:sz w:val="10"/>
          <w:szCs w:val="10"/>
        </w:rPr>
        <w:sectPr w:rsidR="00CA708D" w:rsidRPr="00C44FE9" w:rsidSect="006A5A70">
          <w:footerReference w:type="default" r:id="rId7"/>
          <w:pgSz w:w="12240" w:h="15840" w:code="1"/>
          <w:pgMar w:top="1389" w:right="1797" w:bottom="1389" w:left="1797" w:header="720" w:footer="720" w:gutter="0"/>
          <w:pgNumType w:start="1"/>
          <w:cols w:space="720"/>
          <w:noEndnote/>
          <w:docGrid w:linePitch="326"/>
        </w:sectPr>
      </w:pPr>
    </w:p>
    <w:p w:rsidR="00CA708D" w:rsidRPr="00C44FE9" w:rsidRDefault="00CA708D" w:rsidP="00CA708D">
      <w:pPr>
        <w:adjustRightInd w:val="0"/>
        <w:spacing w:line="560" w:lineRule="exact"/>
        <w:ind w:left="120"/>
        <w:rPr>
          <w:rFonts w:ascii="仿宋_GB2312" w:eastAsia="仿宋_GB2312"/>
          <w:bCs/>
          <w:sz w:val="28"/>
          <w:szCs w:val="28"/>
        </w:rPr>
      </w:pPr>
      <w:r w:rsidRPr="00C44FE9">
        <w:rPr>
          <w:rFonts w:ascii="仿宋_GB2312" w:eastAsia="仿宋_GB2312" w:hint="eastAsia"/>
          <w:bCs/>
          <w:sz w:val="28"/>
          <w:szCs w:val="28"/>
        </w:rPr>
        <w:lastRenderedPageBreak/>
        <w:t>附录B</w:t>
      </w:r>
    </w:p>
    <w:p w:rsidR="00CA708D" w:rsidRDefault="00CA708D" w:rsidP="00CA708D">
      <w:pPr>
        <w:adjustRightInd w:val="0"/>
        <w:spacing w:line="560" w:lineRule="exact"/>
        <w:ind w:left="120"/>
        <w:jc w:val="center"/>
        <w:rPr>
          <w:rFonts w:ascii="方正小标宋_GBK" w:eastAsia="方正小标宋_GBK"/>
          <w:bCs/>
          <w:sz w:val="36"/>
          <w:szCs w:val="36"/>
        </w:rPr>
      </w:pPr>
      <w:r w:rsidRPr="00C44FE9">
        <w:rPr>
          <w:rFonts w:ascii="方正小标宋_GBK" w:eastAsia="方正小标宋_GBK" w:hint="eastAsia"/>
          <w:bCs/>
          <w:sz w:val="36"/>
          <w:szCs w:val="36"/>
        </w:rPr>
        <w:t>案</w:t>
      </w:r>
      <w:r>
        <w:rPr>
          <w:rFonts w:ascii="方正小标宋_GBK" w:eastAsia="方正小标宋_GBK" w:hint="eastAsia"/>
          <w:bCs/>
          <w:sz w:val="36"/>
          <w:szCs w:val="36"/>
        </w:rPr>
        <w:t xml:space="preserve">  </w:t>
      </w:r>
      <w:r w:rsidRPr="00C44FE9">
        <w:rPr>
          <w:rFonts w:ascii="方正小标宋_GBK" w:eastAsia="方正小标宋_GBK" w:hint="eastAsia"/>
          <w:bCs/>
          <w:sz w:val="36"/>
          <w:szCs w:val="36"/>
        </w:rPr>
        <w:t>例</w:t>
      </w:r>
    </w:p>
    <w:p w:rsidR="00CA708D" w:rsidRPr="00C44FE9" w:rsidRDefault="00CA708D" w:rsidP="00CA708D">
      <w:pPr>
        <w:adjustRightInd w:val="0"/>
        <w:spacing w:line="560" w:lineRule="exact"/>
        <w:ind w:left="120"/>
        <w:jc w:val="center"/>
        <w:rPr>
          <w:rFonts w:ascii="方正小标宋_GBK" w:eastAsia="方正小标宋_GBK"/>
          <w:bCs/>
          <w:sz w:val="36"/>
          <w:szCs w:val="36"/>
        </w:rPr>
      </w:pPr>
    </w:p>
    <w:p w:rsidR="00CA708D" w:rsidRPr="00CE1004" w:rsidRDefault="00CA708D" w:rsidP="00CA708D">
      <w:pPr>
        <w:tabs>
          <w:tab w:val="left" w:pos="1647"/>
        </w:tabs>
        <w:adjustRightInd w:val="0"/>
        <w:spacing w:line="520" w:lineRule="exact"/>
        <w:ind w:left="119"/>
        <w:rPr>
          <w:rFonts w:ascii="仿宋_GB2312" w:eastAsia="仿宋_GB2312"/>
          <w:b/>
          <w:bCs/>
          <w:sz w:val="28"/>
          <w:szCs w:val="28"/>
        </w:rPr>
      </w:pPr>
      <w:r w:rsidRPr="00CE1004">
        <w:rPr>
          <w:rFonts w:ascii="仿宋_GB2312" w:eastAsia="仿宋_GB2312" w:hint="eastAsia"/>
          <w:b/>
          <w:bCs/>
          <w:sz w:val="28"/>
          <w:szCs w:val="28"/>
        </w:rPr>
        <w:t>案例1</w:t>
      </w:r>
      <w:r>
        <w:rPr>
          <w:rFonts w:ascii="仿宋_GB2312" w:eastAsia="仿宋_GB2312"/>
          <w:b/>
          <w:bCs/>
          <w:sz w:val="28"/>
          <w:szCs w:val="28"/>
        </w:rPr>
        <w:tab/>
      </w:r>
    </w:p>
    <w:p w:rsidR="00CA708D" w:rsidRPr="00CE1004" w:rsidRDefault="00CA708D" w:rsidP="00CA708D">
      <w:pPr>
        <w:adjustRightInd w:val="0"/>
        <w:spacing w:line="520" w:lineRule="exact"/>
        <w:ind w:left="119" w:firstLineChars="200" w:firstLine="560"/>
        <w:rPr>
          <w:rFonts w:ascii="仿宋_GB2312" w:eastAsia="仿宋_GB2312"/>
          <w:sz w:val="28"/>
          <w:szCs w:val="28"/>
        </w:rPr>
      </w:pPr>
      <w:r w:rsidRPr="00CE1004">
        <w:rPr>
          <w:rFonts w:ascii="仿宋_GB2312" w:eastAsia="仿宋_GB2312" w:hint="eastAsia"/>
          <w:sz w:val="28"/>
          <w:szCs w:val="28"/>
        </w:rPr>
        <w:t>从初步的物料平衡试验中发现，1种代谢产物在大鼠血浆中约占总放射性剂量的1%-2%，犬中为5%，人体为20%（尿液和/或粪便中该代谢产物的放射性很低）。根据上述数据，人体中该代谢产物的暴露量比动物高达20倍，因此建议进行代谢产物的非临床安全性试验。但是，大鼠和犬中母体药物一般毒理试验的数据提示，测试的最高剂量下产生的代谢产物暴露量至少与最大推荐人用剂量时的治疗暴露量相当。同时，以母体药物进行的体内遗传毒性试验、胚胎-胎仔发育毒性试验及致癌性试验中，检测该代谢产物的血浆浓度后发现有足够的该代谢产物的暴露量，因此不需要对该代谢产物进行其他试验。</w:t>
      </w:r>
    </w:p>
    <w:p w:rsidR="00CA708D" w:rsidRPr="00CE1004" w:rsidRDefault="00CA708D" w:rsidP="00CA708D">
      <w:pPr>
        <w:adjustRightInd w:val="0"/>
        <w:spacing w:line="520" w:lineRule="exact"/>
        <w:ind w:left="119"/>
        <w:rPr>
          <w:rFonts w:ascii="仿宋_GB2312" w:eastAsia="仿宋_GB2312"/>
          <w:b/>
          <w:bCs/>
          <w:sz w:val="28"/>
          <w:szCs w:val="28"/>
        </w:rPr>
      </w:pPr>
      <w:r w:rsidRPr="00CE1004">
        <w:rPr>
          <w:rFonts w:ascii="仿宋_GB2312" w:eastAsia="仿宋_GB2312" w:hint="eastAsia"/>
          <w:b/>
          <w:bCs/>
          <w:sz w:val="28"/>
          <w:szCs w:val="28"/>
        </w:rPr>
        <w:t>案例2</w:t>
      </w:r>
    </w:p>
    <w:p w:rsidR="00CA708D" w:rsidRPr="00176A4A" w:rsidRDefault="00CA708D" w:rsidP="00CA708D">
      <w:pPr>
        <w:adjustRightInd w:val="0"/>
        <w:spacing w:line="520" w:lineRule="exact"/>
        <w:ind w:left="119" w:firstLineChars="200" w:firstLine="528"/>
        <w:rPr>
          <w:rFonts w:ascii="仿宋_GB2312" w:eastAsia="仿宋_GB2312"/>
          <w:spacing w:val="-8"/>
          <w:sz w:val="28"/>
          <w:szCs w:val="28"/>
        </w:rPr>
      </w:pPr>
      <w:r w:rsidRPr="00176A4A">
        <w:rPr>
          <w:rFonts w:ascii="仿宋_GB2312" w:eastAsia="仿宋_GB2312" w:hint="eastAsia"/>
          <w:spacing w:val="-8"/>
          <w:sz w:val="28"/>
          <w:szCs w:val="28"/>
        </w:rPr>
        <w:t>采用人、猴、大鼠、犬、家兔和小鼠的肝细胞和肝微粒体检测发现，两种初级羟基化代谢产物M1和M2进一步氧化形成次级代谢产物M3和M4。后续体内试验数据也证实了该代谢特征。药代研究信息如下：1）M1与M4是人体、猴和犬微粒体中的主要代谢产物，而大鼠、小鼠和家兔微粒体中的是M2和M3。2）在人体中形成的M4水平比母体药物高4倍，但M4在啮齿类动物中的水平很低，在猴中仅占母体药物暴露量的1/3（见下表）。</w:t>
      </w:r>
    </w:p>
    <w:p w:rsidR="00CA708D" w:rsidRPr="00CE1004" w:rsidRDefault="00CA708D" w:rsidP="00CA708D">
      <w:pPr>
        <w:adjustRightInd w:val="0"/>
        <w:spacing w:line="560" w:lineRule="exact"/>
        <w:ind w:left="120"/>
        <w:jc w:val="center"/>
        <w:rPr>
          <w:rFonts w:ascii="仿宋_GB2312" w:eastAsia="仿宋_GB2312"/>
          <w:b/>
          <w:bCs/>
          <w:sz w:val="28"/>
          <w:szCs w:val="28"/>
        </w:rPr>
      </w:pPr>
      <w:r w:rsidRPr="00CE1004">
        <w:rPr>
          <w:rFonts w:ascii="仿宋_GB2312" w:eastAsia="仿宋_GB2312" w:hint="eastAsia"/>
          <w:b/>
          <w:bCs/>
          <w:sz w:val="28"/>
          <w:szCs w:val="28"/>
        </w:rPr>
        <w:t xml:space="preserve">表：最高剂量下的AUC </w:t>
      </w:r>
      <w:r w:rsidRPr="00CE1004">
        <w:rPr>
          <w:rFonts w:ascii="仿宋_GB2312" w:eastAsia="仿宋_GB2312" w:hint="eastAsia"/>
          <w:b/>
          <w:bCs/>
          <w:sz w:val="28"/>
          <w:szCs w:val="28"/>
          <w:vertAlign w:val="subscript"/>
        </w:rPr>
        <w:t>0-24hr</w:t>
      </w:r>
    </w:p>
    <w:tbl>
      <w:tblPr>
        <w:tblW w:w="0" w:type="auto"/>
        <w:tblInd w:w="90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1609"/>
        <w:gridCol w:w="2044"/>
        <w:gridCol w:w="1637"/>
        <w:gridCol w:w="1618"/>
      </w:tblGrid>
      <w:tr w:rsidR="00CA708D" w:rsidRPr="00A86FC7" w:rsidTr="001C7079">
        <w:trPr>
          <w:cantSplit/>
          <w:trHeight w:val="20"/>
        </w:trPr>
        <w:tc>
          <w:tcPr>
            <w:tcW w:w="1609" w:type="dxa"/>
          </w:tcPr>
          <w:p w:rsidR="00CA708D" w:rsidRPr="00A86FC7" w:rsidRDefault="00CA708D" w:rsidP="001C7079">
            <w:pPr>
              <w:adjustRightInd w:val="0"/>
              <w:spacing w:line="560" w:lineRule="exact"/>
              <w:ind w:left="120"/>
              <w:jc w:val="center"/>
              <w:rPr>
                <w:rFonts w:ascii="宋体" w:hAnsi="宋体"/>
                <w:szCs w:val="21"/>
              </w:rPr>
            </w:pPr>
          </w:p>
        </w:tc>
        <w:tc>
          <w:tcPr>
            <w:tcW w:w="2044"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人体（MRHD）</w:t>
            </w:r>
          </w:p>
        </w:tc>
        <w:tc>
          <w:tcPr>
            <w:tcW w:w="1637"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猴</w:t>
            </w:r>
          </w:p>
        </w:tc>
        <w:tc>
          <w:tcPr>
            <w:tcW w:w="1618"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大鼠</w:t>
            </w:r>
          </w:p>
        </w:tc>
      </w:tr>
      <w:tr w:rsidR="00CA708D" w:rsidRPr="00A86FC7" w:rsidTr="001C7079">
        <w:trPr>
          <w:cantSplit/>
          <w:trHeight w:val="20"/>
        </w:trPr>
        <w:tc>
          <w:tcPr>
            <w:tcW w:w="1609"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母体药物</w:t>
            </w:r>
          </w:p>
        </w:tc>
        <w:tc>
          <w:tcPr>
            <w:tcW w:w="2044"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1,800</w:t>
            </w:r>
          </w:p>
        </w:tc>
        <w:tc>
          <w:tcPr>
            <w:tcW w:w="1637"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15,000</w:t>
            </w:r>
          </w:p>
        </w:tc>
        <w:tc>
          <w:tcPr>
            <w:tcW w:w="1618"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12,500</w:t>
            </w:r>
          </w:p>
        </w:tc>
      </w:tr>
      <w:tr w:rsidR="00CA708D" w:rsidRPr="00A86FC7" w:rsidTr="001C7079">
        <w:trPr>
          <w:cantSplit/>
          <w:trHeight w:val="20"/>
        </w:trPr>
        <w:tc>
          <w:tcPr>
            <w:tcW w:w="1609"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M4</w:t>
            </w:r>
          </w:p>
        </w:tc>
        <w:tc>
          <w:tcPr>
            <w:tcW w:w="2044"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7,700</w:t>
            </w:r>
          </w:p>
        </w:tc>
        <w:tc>
          <w:tcPr>
            <w:tcW w:w="1637"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5,000</w:t>
            </w:r>
          </w:p>
        </w:tc>
        <w:tc>
          <w:tcPr>
            <w:tcW w:w="1618" w:type="dxa"/>
          </w:tcPr>
          <w:p w:rsidR="00CA708D" w:rsidRPr="00A86FC7" w:rsidRDefault="00CA708D" w:rsidP="001C7079">
            <w:pPr>
              <w:adjustRightInd w:val="0"/>
              <w:spacing w:line="560" w:lineRule="exact"/>
              <w:ind w:left="120"/>
              <w:jc w:val="center"/>
              <w:rPr>
                <w:rFonts w:ascii="宋体" w:hAnsi="宋体"/>
                <w:szCs w:val="21"/>
              </w:rPr>
            </w:pPr>
            <w:r w:rsidRPr="00A86FC7">
              <w:rPr>
                <w:rFonts w:ascii="宋体" w:hAnsi="宋体" w:hint="eastAsia"/>
                <w:szCs w:val="21"/>
              </w:rPr>
              <w:t>135</w:t>
            </w:r>
          </w:p>
        </w:tc>
      </w:tr>
    </w:tbl>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安全性研究显示：在猴中母体药物出现了严重的药物相关的、新的靶器官毒性，而大鼠中未出现。此外，在药物靶受体中M4无药理学</w:t>
      </w:r>
      <w:r w:rsidRPr="00CE1004">
        <w:rPr>
          <w:rFonts w:ascii="仿宋_GB2312" w:eastAsia="仿宋_GB2312" w:hint="eastAsia"/>
          <w:sz w:val="28"/>
          <w:szCs w:val="28"/>
        </w:rPr>
        <w:lastRenderedPageBreak/>
        <w:t>活性。</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为此，代谢产物M4进行了以下附加试验：</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重复给药毒性试验：大鼠3个月毒性试验；</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大鼠胚胎-胎仔发育毒性试验；</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体外遗传毒性试验：M4的点突变和染色体畸变试验结果为阳性，母体药物为阴性。</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由于遗传毒性试验结果为阳性，建议进行一项M4的致癌性试验。</w:t>
      </w:r>
    </w:p>
    <w:p w:rsidR="00CA708D" w:rsidRPr="00CE1004" w:rsidRDefault="00CA708D" w:rsidP="00CA708D">
      <w:pPr>
        <w:adjustRightInd w:val="0"/>
        <w:spacing w:line="560" w:lineRule="exact"/>
        <w:ind w:left="120"/>
        <w:rPr>
          <w:rFonts w:ascii="仿宋_GB2312" w:eastAsia="仿宋_GB2312"/>
          <w:b/>
          <w:bCs/>
          <w:sz w:val="28"/>
          <w:szCs w:val="28"/>
        </w:rPr>
      </w:pPr>
      <w:r w:rsidRPr="00CE1004">
        <w:rPr>
          <w:rFonts w:ascii="仿宋_GB2312" w:eastAsia="仿宋_GB2312" w:hint="eastAsia"/>
          <w:b/>
          <w:bCs/>
          <w:sz w:val="28"/>
          <w:szCs w:val="28"/>
        </w:rPr>
        <w:t>案例3</w:t>
      </w:r>
    </w:p>
    <w:p w:rsidR="00CA708D" w:rsidRPr="00CE1004" w:rsidRDefault="00CA708D" w:rsidP="00CA708D">
      <w:pPr>
        <w:adjustRightInd w:val="0"/>
        <w:spacing w:line="560" w:lineRule="exact"/>
        <w:ind w:left="120" w:firstLineChars="200" w:firstLine="560"/>
        <w:rPr>
          <w:rFonts w:ascii="仿宋_GB2312" w:eastAsia="仿宋_GB2312"/>
          <w:sz w:val="28"/>
          <w:szCs w:val="28"/>
        </w:rPr>
      </w:pPr>
      <w:r w:rsidRPr="00CE1004">
        <w:rPr>
          <w:rFonts w:ascii="仿宋_GB2312" w:eastAsia="仿宋_GB2312" w:hint="eastAsia"/>
          <w:sz w:val="28"/>
          <w:szCs w:val="28"/>
        </w:rPr>
        <w:t>M2是一种I相氧化代谢产物，在人体中高达母体药物暴露量的50%，在小鼠中约为母体药物暴露量的10%，犬中约为母体药物暴露量的15%，大鼠中仅为痕量。这些动物种属的体外代谢试验结果支持体内研究结果。根据构效关系分析结果，与母体药物分子比较，该代谢产物预期不会产生任何不同的毒性或加重毒性。在安全性评价试验所测试的所有动物种属中，母体药物未见明显毒性，也未见可确定的毒性靶器官。但是，由于人体中出现了高比例药物代谢产物，故需要进一步的安全性试验。在犬的短期耐受性试验中，M2出现了非预期的、显著的心脏毒性，包括所有剂量和所有受试犬。M2对治疗靶受体无药理学活性。</w:t>
      </w:r>
    </w:p>
    <w:p w:rsidR="00CA708D" w:rsidRDefault="00CA708D" w:rsidP="00CA708D">
      <w:pPr>
        <w:adjustRightInd w:val="0"/>
        <w:spacing w:line="560" w:lineRule="exact"/>
        <w:ind w:left="120"/>
        <w:rPr>
          <w:rFonts w:ascii="仿宋_GB2312" w:eastAsia="仿宋_GB2312"/>
          <w:b/>
          <w:bCs/>
          <w:sz w:val="28"/>
          <w:szCs w:val="28"/>
        </w:rPr>
      </w:pPr>
    </w:p>
    <w:p w:rsidR="00CA708D" w:rsidRDefault="00CA708D" w:rsidP="00CA708D">
      <w:pPr>
        <w:adjustRightInd w:val="0"/>
        <w:spacing w:line="560" w:lineRule="exact"/>
        <w:ind w:left="120"/>
        <w:rPr>
          <w:rFonts w:ascii="仿宋_GB2312" w:eastAsia="仿宋_GB2312"/>
          <w:b/>
          <w:bCs/>
          <w:sz w:val="28"/>
          <w:szCs w:val="28"/>
        </w:rPr>
      </w:pPr>
    </w:p>
    <w:p w:rsidR="00CA708D" w:rsidRDefault="00CA708D" w:rsidP="00CA708D">
      <w:pPr>
        <w:adjustRightInd w:val="0"/>
        <w:spacing w:line="560" w:lineRule="exact"/>
        <w:ind w:left="120"/>
        <w:rPr>
          <w:rFonts w:ascii="仿宋_GB2312" w:eastAsia="仿宋_GB2312"/>
          <w:b/>
          <w:bCs/>
          <w:sz w:val="28"/>
          <w:szCs w:val="28"/>
        </w:rPr>
      </w:pPr>
    </w:p>
    <w:p w:rsidR="00391C30" w:rsidRDefault="00391C30" w:rsidP="00CA708D">
      <w:pPr>
        <w:adjustRightInd w:val="0"/>
        <w:spacing w:line="560" w:lineRule="exact"/>
        <w:ind w:left="120"/>
        <w:rPr>
          <w:rFonts w:ascii="仿宋_GB2312" w:eastAsia="仿宋_GB2312"/>
          <w:b/>
          <w:bCs/>
          <w:sz w:val="28"/>
          <w:szCs w:val="28"/>
        </w:rPr>
      </w:pPr>
    </w:p>
    <w:p w:rsidR="009E687A" w:rsidRDefault="009E687A" w:rsidP="00CA708D">
      <w:pPr>
        <w:adjustRightInd w:val="0"/>
        <w:spacing w:line="560" w:lineRule="exact"/>
        <w:ind w:left="120"/>
        <w:rPr>
          <w:rFonts w:ascii="仿宋_GB2312" w:eastAsia="仿宋_GB2312"/>
          <w:b/>
          <w:bCs/>
          <w:sz w:val="28"/>
          <w:szCs w:val="28"/>
        </w:rPr>
      </w:pPr>
    </w:p>
    <w:p w:rsidR="009E687A" w:rsidRDefault="009E687A" w:rsidP="00CA708D">
      <w:pPr>
        <w:adjustRightInd w:val="0"/>
        <w:spacing w:line="560" w:lineRule="exact"/>
        <w:ind w:left="120"/>
        <w:rPr>
          <w:rFonts w:ascii="仿宋_GB2312" w:eastAsia="仿宋_GB2312"/>
          <w:b/>
          <w:bCs/>
          <w:sz w:val="28"/>
          <w:szCs w:val="28"/>
        </w:rPr>
      </w:pPr>
    </w:p>
    <w:p w:rsidR="00CA708D" w:rsidRPr="00CE1004" w:rsidRDefault="00CA708D" w:rsidP="00CA708D">
      <w:pPr>
        <w:adjustRightInd w:val="0"/>
        <w:spacing w:line="560" w:lineRule="exact"/>
        <w:ind w:left="120"/>
        <w:rPr>
          <w:rFonts w:ascii="仿宋_GB2312" w:eastAsia="仿宋_GB2312"/>
          <w:b/>
          <w:bCs/>
          <w:sz w:val="28"/>
          <w:szCs w:val="28"/>
        </w:rPr>
      </w:pPr>
    </w:p>
    <w:p w:rsidR="00CA708D" w:rsidRPr="00C44FE9" w:rsidRDefault="00CA708D" w:rsidP="009E687A">
      <w:pPr>
        <w:tabs>
          <w:tab w:val="left" w:pos="8222"/>
        </w:tabs>
        <w:adjustRightInd w:val="0"/>
        <w:spacing w:line="560" w:lineRule="exact"/>
        <w:jc w:val="center"/>
        <w:rPr>
          <w:rFonts w:ascii="方正小标宋_GBK" w:eastAsia="方正小标宋_GBK"/>
          <w:sz w:val="36"/>
          <w:szCs w:val="36"/>
          <w:lang w:val="fr-FR"/>
        </w:rPr>
      </w:pPr>
      <w:r w:rsidRPr="00C44FE9">
        <w:rPr>
          <w:rFonts w:ascii="方正小标宋_GBK" w:eastAsia="方正小标宋_GBK" w:hint="eastAsia"/>
          <w:sz w:val="36"/>
          <w:szCs w:val="36"/>
          <w:lang w:val="fr-FR"/>
        </w:rPr>
        <w:lastRenderedPageBreak/>
        <w:t>参考文献</w:t>
      </w:r>
    </w:p>
    <w:p w:rsidR="00CA708D" w:rsidRPr="00CE1004" w:rsidRDefault="00CA708D" w:rsidP="00CA708D">
      <w:pPr>
        <w:adjustRightInd w:val="0"/>
        <w:spacing w:line="560" w:lineRule="exact"/>
        <w:ind w:left="120"/>
        <w:jc w:val="center"/>
        <w:rPr>
          <w:rFonts w:ascii="方正小标宋_GBK" w:eastAsia="方正小标宋_GBK"/>
          <w:b/>
          <w:sz w:val="36"/>
          <w:szCs w:val="36"/>
        </w:rPr>
      </w:pPr>
    </w:p>
    <w:p w:rsidR="00CA708D" w:rsidRPr="00CE1004" w:rsidRDefault="00CA708D" w:rsidP="00CA708D">
      <w:pPr>
        <w:pStyle w:val="Default"/>
        <w:numPr>
          <w:ilvl w:val="0"/>
          <w:numId w:val="1"/>
        </w:numPr>
        <w:spacing w:line="560" w:lineRule="exact"/>
        <w:jc w:val="both"/>
        <w:rPr>
          <w:rFonts w:ascii="Times New Roman" w:eastAsia="仿宋_GB2312" w:hAnsi="Times New Roman" w:cs="Times New Roman"/>
          <w:sz w:val="28"/>
          <w:szCs w:val="28"/>
        </w:rPr>
      </w:pPr>
      <w:r w:rsidRPr="00CE1004">
        <w:rPr>
          <w:rFonts w:ascii="Times New Roman" w:eastAsia="仿宋_GB2312" w:hAnsi="Times New Roman" w:cs="Times New Roman"/>
          <w:sz w:val="28"/>
          <w:szCs w:val="28"/>
        </w:rPr>
        <w:t>FDA Guidance</w:t>
      </w:r>
      <w:r w:rsidRPr="00CE1004">
        <w:rPr>
          <w:rFonts w:ascii="Times New Roman" w:eastAsia="仿宋_GB2312" w:hAnsi="Times New Roman" w:cs="Times New Roman"/>
          <w:sz w:val="28"/>
          <w:szCs w:val="28"/>
        </w:rPr>
        <w:t>：</w:t>
      </w:r>
      <w:r w:rsidRPr="00CE1004">
        <w:rPr>
          <w:rFonts w:ascii="Times New Roman" w:eastAsia="仿宋_GB2312" w:hAnsi="Times New Roman" w:cs="Times New Roman"/>
          <w:sz w:val="28"/>
          <w:szCs w:val="28"/>
        </w:rPr>
        <w:t>Safety Testing of Drug Metabolites</w:t>
      </w:r>
      <w:r w:rsidRPr="00CE1004">
        <w:rPr>
          <w:rFonts w:ascii="Times New Roman" w:eastAsia="仿宋_GB2312" w:hAnsi="Times New Roman" w:cs="Times New Roman"/>
          <w:sz w:val="28"/>
          <w:szCs w:val="28"/>
        </w:rPr>
        <w:t>，</w:t>
      </w:r>
      <w:r w:rsidRPr="00CE1004">
        <w:rPr>
          <w:rFonts w:ascii="Times New Roman" w:eastAsia="仿宋_GB2312" w:hAnsi="Times New Roman" w:cs="Times New Roman"/>
          <w:sz w:val="28"/>
          <w:szCs w:val="28"/>
        </w:rPr>
        <w:t>2008</w:t>
      </w:r>
    </w:p>
    <w:p w:rsidR="00CA708D" w:rsidRPr="00CE1004" w:rsidRDefault="00CA708D" w:rsidP="00CA708D">
      <w:pPr>
        <w:pStyle w:val="Default"/>
        <w:numPr>
          <w:ilvl w:val="0"/>
          <w:numId w:val="1"/>
        </w:numPr>
        <w:spacing w:line="560" w:lineRule="exact"/>
        <w:jc w:val="both"/>
        <w:rPr>
          <w:rFonts w:ascii="Times New Roman" w:eastAsia="仿宋_GB2312" w:hAnsi="Times New Roman" w:cs="Times New Roman"/>
          <w:sz w:val="28"/>
          <w:szCs w:val="28"/>
        </w:rPr>
      </w:pPr>
      <w:r w:rsidRPr="00CE1004">
        <w:rPr>
          <w:rFonts w:ascii="Times New Roman" w:eastAsia="仿宋_GB2312" w:hAnsi="Times New Roman" w:cs="Times New Roman"/>
          <w:sz w:val="28"/>
          <w:szCs w:val="28"/>
        </w:rPr>
        <w:t xml:space="preserve">ICH M3(R2): Nonclinical Safety Studies for the Conduct of Human Clinical Trials and Marketing Authorization for Pharmaceuticals,2010 </w:t>
      </w:r>
    </w:p>
    <w:p w:rsidR="00CA708D" w:rsidRPr="00CE1004" w:rsidRDefault="00CA708D" w:rsidP="00CA708D">
      <w:pPr>
        <w:pStyle w:val="Default"/>
        <w:numPr>
          <w:ilvl w:val="0"/>
          <w:numId w:val="1"/>
        </w:numPr>
        <w:spacing w:line="560" w:lineRule="exact"/>
        <w:jc w:val="both"/>
        <w:rPr>
          <w:rFonts w:ascii="Times New Roman" w:eastAsia="仿宋_GB2312" w:hAnsi="Times New Roman" w:cs="Times New Roman"/>
          <w:sz w:val="28"/>
          <w:szCs w:val="28"/>
        </w:rPr>
      </w:pPr>
      <w:r w:rsidRPr="00CE1004">
        <w:rPr>
          <w:rFonts w:ascii="Times New Roman" w:eastAsia="仿宋_GB2312" w:hAnsi="Times New Roman" w:cs="Times New Roman"/>
          <w:sz w:val="28"/>
          <w:szCs w:val="28"/>
        </w:rPr>
        <w:t xml:space="preserve">ICH S9: Nonclinical Evaluation for Anticancer Pharmaceuticals,2010 </w:t>
      </w:r>
    </w:p>
    <w:p w:rsidR="00CA708D" w:rsidRPr="00CE1004" w:rsidRDefault="00CA708D" w:rsidP="00391C30">
      <w:pPr>
        <w:pStyle w:val="Default"/>
        <w:numPr>
          <w:ilvl w:val="0"/>
          <w:numId w:val="1"/>
        </w:numPr>
        <w:spacing w:line="560" w:lineRule="exact"/>
        <w:rPr>
          <w:rFonts w:ascii="Times New Roman" w:eastAsia="仿宋_GB2312" w:hAnsi="Times New Roman" w:cs="Times New Roman"/>
          <w:sz w:val="28"/>
          <w:szCs w:val="28"/>
          <w:lang w:val="de-DE"/>
        </w:rPr>
      </w:pPr>
      <w:r w:rsidRPr="00CE1004">
        <w:rPr>
          <w:rFonts w:ascii="Times New Roman" w:eastAsia="仿宋_GB2312" w:hAnsi="Times New Roman" w:cs="Times New Roman"/>
          <w:sz w:val="28"/>
          <w:szCs w:val="28"/>
          <w:lang w:val="de-DE"/>
        </w:rPr>
        <w:t>ICH</w:t>
      </w:r>
      <w:r w:rsidRPr="00CE1004" w:rsidDel="00326725">
        <w:rPr>
          <w:rFonts w:ascii="Times New Roman" w:eastAsia="仿宋_GB2312" w:hAnsi="Times New Roman" w:cs="Times New Roman"/>
          <w:sz w:val="28"/>
          <w:szCs w:val="28"/>
          <w:lang w:val="de-DE"/>
        </w:rPr>
        <w:t xml:space="preserve"> </w:t>
      </w:r>
      <w:r w:rsidRPr="00CE1004">
        <w:rPr>
          <w:rFonts w:ascii="Times New Roman" w:eastAsia="仿宋_GB2312" w:hAnsi="Times New Roman" w:cs="Times New Roman"/>
          <w:sz w:val="28"/>
          <w:szCs w:val="28"/>
          <w:lang w:val="de-DE"/>
        </w:rPr>
        <w:t xml:space="preserve">S6: </w:t>
      </w:r>
      <w:r w:rsidRPr="00CE1004">
        <w:rPr>
          <w:rFonts w:ascii="Times New Roman" w:eastAsia="仿宋_GB2312" w:hAnsi="Times New Roman" w:cs="Times New Roman"/>
          <w:sz w:val="28"/>
          <w:szCs w:val="28"/>
          <w:lang w:val="fr-FR"/>
        </w:rPr>
        <w:t>生物技术药物的临床前安全性评价和</w:t>
      </w:r>
      <w:r w:rsidRPr="00CE1004">
        <w:rPr>
          <w:rFonts w:ascii="Times New Roman" w:eastAsia="仿宋_GB2312" w:hAnsi="Times New Roman" w:cs="Times New Roman"/>
          <w:sz w:val="28"/>
          <w:szCs w:val="28"/>
          <w:lang w:val="de-DE"/>
        </w:rPr>
        <w:t>S7A</w:t>
      </w:r>
      <w:r w:rsidRPr="00CE1004">
        <w:rPr>
          <w:rFonts w:ascii="Times New Roman" w:eastAsia="仿宋_GB2312" w:hAnsi="Times New Roman" w:cs="Times New Roman"/>
          <w:sz w:val="28"/>
          <w:szCs w:val="28"/>
          <w:lang w:val="fr-FR"/>
        </w:rPr>
        <w:t>人用药物安全药理学研究指导原则</w:t>
      </w:r>
      <w:r w:rsidRPr="00CE1004">
        <w:rPr>
          <w:rFonts w:ascii="Times New Roman" w:eastAsia="仿宋_GB2312" w:hAnsi="Times New Roman" w:cs="Times New Roman"/>
          <w:sz w:val="28"/>
          <w:szCs w:val="28"/>
          <w:lang w:val="de-DE"/>
        </w:rPr>
        <w:t>（</w:t>
      </w:r>
      <w:hyperlink r:id="rId8" w:history="1">
        <w:r w:rsidRPr="00CE1004">
          <w:rPr>
            <w:rFonts w:ascii="Times New Roman" w:eastAsia="仿宋_GB2312" w:hAnsi="Times New Roman" w:cs="Times New Roman"/>
            <w:sz w:val="28"/>
            <w:szCs w:val="28"/>
            <w:lang w:val="de-DE"/>
          </w:rPr>
          <w:t>http://www.ich.orgicache/compo/276-254-1.html</w:t>
        </w:r>
        <w:r w:rsidRPr="00CE1004">
          <w:rPr>
            <w:rFonts w:ascii="Times New Roman" w:eastAsia="仿宋_GB2312" w:hAnsi="Times New Roman" w:cs="Times New Roman"/>
            <w:sz w:val="28"/>
            <w:szCs w:val="28"/>
            <w:lang w:val="de-DE"/>
          </w:rPr>
          <w:t>）</w:t>
        </w:r>
      </w:hyperlink>
      <w:r w:rsidRPr="00CE1004">
        <w:rPr>
          <w:rFonts w:ascii="Times New Roman" w:eastAsia="仿宋_GB2312" w:hAnsi="Times New Roman" w:cs="Times New Roman"/>
          <w:sz w:val="28"/>
          <w:szCs w:val="28"/>
          <w:lang w:val="fr-FR"/>
        </w:rPr>
        <w:t>。</w:t>
      </w:r>
    </w:p>
    <w:p w:rsidR="00CA708D" w:rsidRPr="00CE1004" w:rsidRDefault="00CA708D" w:rsidP="00CA708D">
      <w:pPr>
        <w:pStyle w:val="Default"/>
        <w:numPr>
          <w:ilvl w:val="0"/>
          <w:numId w:val="1"/>
        </w:numPr>
        <w:spacing w:line="560" w:lineRule="exact"/>
        <w:jc w:val="both"/>
        <w:rPr>
          <w:rFonts w:ascii="Times New Roman" w:eastAsia="仿宋_GB2312" w:hAnsi="Times New Roman" w:cs="Times New Roman"/>
          <w:sz w:val="28"/>
          <w:szCs w:val="28"/>
          <w:lang w:val="pl-PL"/>
        </w:rPr>
      </w:pPr>
      <w:r w:rsidRPr="00CE1004">
        <w:rPr>
          <w:rFonts w:ascii="Times New Roman" w:eastAsia="仿宋_GB2312" w:hAnsi="Times New Roman" w:cs="Times New Roman"/>
          <w:sz w:val="28"/>
          <w:szCs w:val="28"/>
          <w:lang w:val="pl-PL"/>
        </w:rPr>
        <w:t>ICH S</w:t>
      </w:r>
      <w:smartTag w:uri="urn:schemas-microsoft-com:office:smarttags" w:element="chmetcnv">
        <w:smartTagPr>
          <w:attr w:name="UnitName" w:val="a"/>
          <w:attr w:name="SourceValue" w:val="3"/>
          <w:attr w:name="HasSpace" w:val="False"/>
          <w:attr w:name="Negative" w:val="False"/>
          <w:attr w:name="NumberType" w:val="1"/>
          <w:attr w:name="TCSC" w:val="0"/>
        </w:smartTagPr>
        <w:r w:rsidRPr="00CE1004">
          <w:rPr>
            <w:rFonts w:ascii="Times New Roman" w:eastAsia="仿宋_GB2312" w:hAnsi="Times New Roman" w:cs="Times New Roman"/>
            <w:sz w:val="28"/>
            <w:szCs w:val="28"/>
            <w:lang w:val="pl-PL"/>
          </w:rPr>
          <w:t>3A</w:t>
        </w:r>
      </w:smartTag>
      <w:r w:rsidRPr="00CE1004">
        <w:rPr>
          <w:rFonts w:ascii="Times New Roman" w:eastAsia="仿宋_GB2312" w:hAnsi="Times New Roman" w:cs="Times New Roman"/>
          <w:sz w:val="28"/>
          <w:szCs w:val="28"/>
          <w:lang w:val="pl-PL"/>
        </w:rPr>
        <w:t xml:space="preserve">: </w:t>
      </w:r>
      <w:r w:rsidRPr="00CE1004">
        <w:rPr>
          <w:rFonts w:ascii="Times New Roman" w:eastAsia="仿宋_GB2312" w:hAnsi="Times New Roman" w:cs="Times New Roman"/>
          <w:sz w:val="28"/>
          <w:szCs w:val="28"/>
          <w:lang w:val="fr-FR"/>
        </w:rPr>
        <w:t>毒代动力学指导原则注释</w:t>
      </w:r>
      <w:r w:rsidRPr="00CE1004">
        <w:rPr>
          <w:rFonts w:ascii="Times New Roman" w:eastAsia="仿宋_GB2312" w:hAnsi="Times New Roman" w:cs="Times New Roman"/>
          <w:sz w:val="28"/>
          <w:szCs w:val="28"/>
          <w:lang w:val="pl-PL"/>
        </w:rPr>
        <w:t>：</w:t>
      </w:r>
      <w:r w:rsidRPr="00CE1004">
        <w:rPr>
          <w:rFonts w:ascii="Times New Roman" w:eastAsia="仿宋_GB2312" w:hAnsi="Times New Roman" w:cs="Times New Roman"/>
          <w:sz w:val="28"/>
          <w:szCs w:val="28"/>
          <w:lang w:val="fr-FR"/>
        </w:rPr>
        <w:t>毒性研究中全身暴露量的评价</w:t>
      </w:r>
      <w:r w:rsidRPr="00CE1004">
        <w:rPr>
          <w:rFonts w:ascii="Times New Roman" w:eastAsia="仿宋_GB2312" w:hAnsi="Times New Roman" w:cs="Times New Roman"/>
          <w:sz w:val="28"/>
          <w:szCs w:val="28"/>
          <w:lang w:val="pl-PL"/>
        </w:rPr>
        <w:t>（</w:t>
      </w:r>
      <w:hyperlink r:id="rId9" w:history="1">
        <w:r w:rsidRPr="00CE1004">
          <w:rPr>
            <w:rFonts w:ascii="Times New Roman" w:eastAsia="仿宋_GB2312" w:hAnsi="Times New Roman" w:cs="Times New Roman"/>
            <w:sz w:val="28"/>
            <w:szCs w:val="28"/>
            <w:lang w:val="pl-PL"/>
          </w:rPr>
          <w:t>http://www.ich.orgicache/compo/276-254-1.html</w:t>
        </w:r>
        <w:r w:rsidRPr="00CE1004">
          <w:rPr>
            <w:rFonts w:ascii="Times New Roman" w:eastAsia="仿宋_GB2312" w:hAnsi="Times New Roman" w:cs="Times New Roman"/>
            <w:sz w:val="28"/>
            <w:szCs w:val="28"/>
            <w:lang w:val="pl-PL"/>
          </w:rPr>
          <w:t>）</w:t>
        </w:r>
        <w:r w:rsidRPr="00CE1004">
          <w:rPr>
            <w:rFonts w:ascii="Times New Roman" w:eastAsia="仿宋_GB2312" w:hAnsi="Times New Roman" w:cs="Times New Roman"/>
            <w:sz w:val="28"/>
            <w:szCs w:val="28"/>
            <w:lang w:val="pl-PL"/>
          </w:rPr>
          <w:t>.</w:t>
        </w:r>
      </w:hyperlink>
    </w:p>
    <w:p w:rsidR="00CA708D" w:rsidRPr="00CE1004" w:rsidRDefault="00CA708D" w:rsidP="00CA708D">
      <w:pPr>
        <w:pStyle w:val="Default"/>
        <w:numPr>
          <w:ilvl w:val="0"/>
          <w:numId w:val="1"/>
        </w:numPr>
        <w:spacing w:line="560" w:lineRule="exact"/>
        <w:jc w:val="both"/>
        <w:rPr>
          <w:rFonts w:ascii="Times New Roman" w:eastAsia="仿宋_GB2312" w:hAnsi="Times New Roman" w:cs="Times New Roman"/>
          <w:sz w:val="28"/>
          <w:szCs w:val="28"/>
        </w:rPr>
      </w:pPr>
      <w:smartTag w:uri="urn:schemas-microsoft-com:office:smarttags" w:element="country-region">
        <w:smartTag w:uri="urn:schemas-microsoft-com:office:smarttags" w:element="place">
          <w:r w:rsidRPr="00CE1004">
            <w:rPr>
              <w:rFonts w:ascii="Times New Roman" w:eastAsia="仿宋_GB2312" w:hAnsi="Times New Roman" w:cs="Times New Roman"/>
              <w:sz w:val="28"/>
              <w:szCs w:val="28"/>
            </w:rPr>
            <w:t>U.S.</w:t>
          </w:r>
        </w:smartTag>
      </w:smartTag>
      <w:r w:rsidRPr="00CE1004">
        <w:rPr>
          <w:rFonts w:ascii="Times New Roman" w:eastAsia="仿宋_GB2312" w:hAnsi="Times New Roman" w:cs="Times New Roman"/>
          <w:sz w:val="28"/>
          <w:szCs w:val="28"/>
        </w:rPr>
        <w:t xml:space="preserve"> Environmental Protection Agency, 1998, Health Effects Test Guidelines, OPPTS 870.7485, Metabolism and Pharmacokinetics. (</w:t>
      </w:r>
      <w:hyperlink r:id="rId10" w:history="1">
        <w:r w:rsidRPr="00CE1004">
          <w:rPr>
            <w:rFonts w:ascii="Times New Roman" w:eastAsia="仿宋_GB2312" w:hAnsi="Times New Roman" w:cs="Times New Roman"/>
            <w:sz w:val="28"/>
            <w:szCs w:val="28"/>
          </w:rPr>
          <w:t>http://www.epa.gov/epahome/research.htm)</w:t>
        </w:r>
      </w:hyperlink>
      <w:r w:rsidRPr="00CE1004">
        <w:rPr>
          <w:rFonts w:ascii="Times New Roman" w:eastAsia="仿宋_GB2312" w:hAnsi="Times New Roman" w:cs="Times New Roman"/>
          <w:sz w:val="28"/>
          <w:szCs w:val="28"/>
          <w:lang w:val="fr-FR"/>
        </w:rPr>
        <w:t>。</w:t>
      </w:r>
    </w:p>
    <w:p w:rsidR="00493167" w:rsidRDefault="00493167"/>
    <w:p w:rsidR="00CA708D" w:rsidRDefault="00CA708D"/>
    <w:p w:rsidR="00CA708D" w:rsidRDefault="00CA708D"/>
    <w:p w:rsidR="00CA708D" w:rsidRDefault="00CA708D"/>
    <w:p w:rsidR="00CA708D" w:rsidRDefault="00CA708D"/>
    <w:p w:rsidR="00CA708D" w:rsidRDefault="00CA708D"/>
    <w:p w:rsidR="00CA708D" w:rsidRDefault="00CA708D"/>
    <w:p w:rsidR="00CA708D" w:rsidRDefault="00CA708D"/>
    <w:p w:rsidR="00CA708D" w:rsidRDefault="00CA708D"/>
    <w:p w:rsidR="009E687A" w:rsidRDefault="009E687A"/>
    <w:p w:rsidR="009E687A" w:rsidRDefault="009E687A"/>
    <w:p w:rsidR="00CA708D" w:rsidRDefault="00CA708D"/>
    <w:p w:rsidR="00CA708D" w:rsidRDefault="00CA708D"/>
    <w:p w:rsidR="00CA708D" w:rsidRDefault="00CA708D"/>
    <w:p w:rsidR="00CA708D" w:rsidRDefault="00CA708D"/>
    <w:p w:rsidR="00CA708D" w:rsidRDefault="00CA708D"/>
    <w:p w:rsidR="00CA708D" w:rsidRDefault="00CA708D"/>
    <w:p w:rsidR="00CA708D" w:rsidRDefault="00CA708D"/>
    <w:p w:rsidR="00CA708D" w:rsidRDefault="00CA708D"/>
    <w:p w:rsidR="00CA708D" w:rsidRDefault="00CA708D"/>
    <w:p w:rsidR="00CA708D" w:rsidRDefault="00CA708D"/>
    <w:p w:rsidR="00CA708D" w:rsidRPr="00C44FE9" w:rsidRDefault="00CA708D" w:rsidP="009E687A">
      <w:pPr>
        <w:tabs>
          <w:tab w:val="left" w:pos="334"/>
          <w:tab w:val="center" w:pos="4320"/>
        </w:tabs>
        <w:spacing w:line="560" w:lineRule="exact"/>
        <w:ind w:firstLineChars="100" w:firstLine="360"/>
        <w:jc w:val="center"/>
        <w:rPr>
          <w:rFonts w:ascii="方正小标宋_GBK" w:eastAsia="方正小标宋_GBK"/>
          <w:sz w:val="36"/>
          <w:szCs w:val="36"/>
        </w:rPr>
      </w:pPr>
      <w:r w:rsidRPr="00C44FE9">
        <w:rPr>
          <w:rFonts w:ascii="方正小标宋_GBK" w:eastAsia="方正小标宋_GBK" w:hint="eastAsia"/>
          <w:sz w:val="36"/>
          <w:szCs w:val="36"/>
        </w:rPr>
        <w:lastRenderedPageBreak/>
        <w:t>起草说明</w:t>
      </w:r>
    </w:p>
    <w:p w:rsidR="00CA708D" w:rsidRPr="00F2437B" w:rsidRDefault="00CA708D" w:rsidP="00CA708D">
      <w:pPr>
        <w:spacing w:line="560" w:lineRule="exact"/>
        <w:ind w:firstLineChars="200" w:firstLine="720"/>
        <w:jc w:val="center"/>
        <w:rPr>
          <w:rFonts w:ascii="方正小标宋_GBK" w:eastAsia="方正小标宋_GBK"/>
          <w:b/>
          <w:sz w:val="36"/>
          <w:szCs w:val="36"/>
        </w:rPr>
      </w:pPr>
    </w:p>
    <w:p w:rsidR="00CA708D" w:rsidRPr="00CE1004" w:rsidRDefault="00CA708D" w:rsidP="00CA708D">
      <w:pPr>
        <w:spacing w:line="560" w:lineRule="exact"/>
        <w:ind w:firstLineChars="200" w:firstLine="560"/>
        <w:rPr>
          <w:rFonts w:ascii="仿宋_GB2312" w:eastAsia="仿宋_GB2312"/>
          <w:sz w:val="28"/>
          <w:szCs w:val="28"/>
        </w:rPr>
      </w:pPr>
      <w:r w:rsidRPr="00CE1004">
        <w:rPr>
          <w:rFonts w:ascii="仿宋_GB2312" w:eastAsia="仿宋_GB2312" w:hint="eastAsia"/>
          <w:sz w:val="28"/>
          <w:szCs w:val="28"/>
        </w:rPr>
        <w:t>1</w:t>
      </w:r>
      <w:r>
        <w:rPr>
          <w:rFonts w:ascii="仿宋_GB2312" w:eastAsia="仿宋_GB2312" w:hint="eastAsia"/>
          <w:sz w:val="28"/>
          <w:szCs w:val="28"/>
        </w:rPr>
        <w:t>.本</w:t>
      </w:r>
      <w:r w:rsidRPr="00CE1004">
        <w:rPr>
          <w:rFonts w:ascii="仿宋_GB2312" w:eastAsia="仿宋_GB2312" w:hint="eastAsia"/>
          <w:sz w:val="28"/>
          <w:szCs w:val="28"/>
        </w:rPr>
        <w:t>指导原则主要参考USA FDA的指导原则Safety testing of drug metabolites来起草，同时也考虑了ICH M3 中对代谢物的安全性研究要求。指导原则内容代表了目前国际上对药物代谢产物安全性研究的基本要求。</w:t>
      </w:r>
    </w:p>
    <w:p w:rsidR="00CA708D" w:rsidRPr="00CE1004" w:rsidRDefault="00CA708D" w:rsidP="00CA708D">
      <w:pPr>
        <w:spacing w:line="560" w:lineRule="exact"/>
        <w:ind w:firstLineChars="200" w:firstLine="560"/>
        <w:rPr>
          <w:rFonts w:ascii="仿宋_GB2312" w:eastAsia="仿宋_GB2312"/>
          <w:sz w:val="28"/>
          <w:szCs w:val="28"/>
        </w:rPr>
      </w:pPr>
      <w:r w:rsidRPr="00CE1004">
        <w:rPr>
          <w:rFonts w:ascii="仿宋_GB2312" w:eastAsia="仿宋_GB2312" w:hint="eastAsia"/>
          <w:sz w:val="28"/>
          <w:szCs w:val="28"/>
        </w:rPr>
        <w:t>2</w:t>
      </w:r>
      <w:r>
        <w:rPr>
          <w:rFonts w:ascii="仿宋_GB2312" w:eastAsia="仿宋_GB2312" w:hint="eastAsia"/>
          <w:sz w:val="28"/>
          <w:szCs w:val="28"/>
        </w:rPr>
        <w:t>.考</w:t>
      </w:r>
      <w:r w:rsidRPr="00CE1004">
        <w:rPr>
          <w:rFonts w:ascii="仿宋_GB2312" w:eastAsia="仿宋_GB2312" w:hint="eastAsia"/>
          <w:sz w:val="28"/>
          <w:szCs w:val="28"/>
        </w:rPr>
        <w:t>虑到该技术要求在国内尚处于起始阶段，文中简介了如何识别药物代谢产物的种属差异，以及何时关注代谢产物安全性的时间安排，具体见第6部分。关于具体的体外代谢研究方法和体内的放射自显影方法，需要结合其他相关指导原则要求来一并考虑。</w:t>
      </w:r>
    </w:p>
    <w:p w:rsidR="00CA708D" w:rsidRPr="00CE1004" w:rsidRDefault="00CA708D" w:rsidP="00CA708D">
      <w:pPr>
        <w:spacing w:line="560" w:lineRule="exact"/>
        <w:ind w:firstLineChars="200" w:firstLine="560"/>
        <w:rPr>
          <w:rFonts w:ascii="仿宋_GB2312" w:eastAsia="仿宋_GB2312"/>
          <w:sz w:val="28"/>
          <w:szCs w:val="28"/>
        </w:rPr>
      </w:pPr>
      <w:r w:rsidRPr="00CE1004">
        <w:rPr>
          <w:rFonts w:ascii="仿宋_GB2312" w:eastAsia="仿宋_GB2312" w:hint="eastAsia"/>
          <w:sz w:val="28"/>
          <w:szCs w:val="28"/>
        </w:rPr>
        <w:t>3</w:t>
      </w:r>
      <w:r>
        <w:rPr>
          <w:rFonts w:ascii="仿宋_GB2312" w:eastAsia="仿宋_GB2312" w:hint="eastAsia"/>
          <w:sz w:val="28"/>
          <w:szCs w:val="28"/>
        </w:rPr>
        <w:t>.关</w:t>
      </w:r>
      <w:r w:rsidRPr="00CE1004">
        <w:rPr>
          <w:rFonts w:ascii="仿宋_GB2312" w:eastAsia="仿宋_GB2312" w:hint="eastAsia"/>
          <w:sz w:val="28"/>
          <w:szCs w:val="28"/>
        </w:rPr>
        <w:t>于代谢比例的10%，原文中是指母体药物暴露量的10%，在专家讨论中认为，国外已经认为该定义方法存在问题，在后续讨论中认为应该将分母定义为原型药物和代谢物的总体药物暴露量，因此明确10%是指药物总体暴露量的10%。</w:t>
      </w:r>
    </w:p>
    <w:p w:rsidR="00CA708D" w:rsidRPr="00CE1004" w:rsidRDefault="00CA708D" w:rsidP="00CA708D">
      <w:pPr>
        <w:spacing w:line="560" w:lineRule="exact"/>
        <w:ind w:firstLineChars="200" w:firstLine="560"/>
        <w:rPr>
          <w:rFonts w:ascii="仿宋_GB2312" w:eastAsia="仿宋_GB2312"/>
          <w:sz w:val="28"/>
          <w:szCs w:val="28"/>
        </w:rPr>
      </w:pPr>
      <w:r w:rsidRPr="00CE1004">
        <w:rPr>
          <w:rFonts w:ascii="仿宋_GB2312" w:eastAsia="仿宋_GB2312" w:hint="eastAsia"/>
          <w:sz w:val="28"/>
          <w:szCs w:val="28"/>
        </w:rPr>
        <w:t>4</w:t>
      </w:r>
      <w:r>
        <w:rPr>
          <w:rFonts w:ascii="仿宋_GB2312" w:eastAsia="仿宋_GB2312" w:hint="eastAsia"/>
          <w:sz w:val="28"/>
          <w:szCs w:val="28"/>
        </w:rPr>
        <w:t>.U</w:t>
      </w:r>
      <w:r w:rsidRPr="00CE1004">
        <w:rPr>
          <w:rFonts w:ascii="仿宋_GB2312" w:eastAsia="仿宋_GB2312" w:hint="eastAsia"/>
          <w:sz w:val="28"/>
          <w:szCs w:val="28"/>
        </w:rPr>
        <w:t>SA FDA指导原则中的Disproportionate drug metabolite在翻译中有不同译法，最后统一为高比例药物代谢产物，并通过定义对其给予具体说明。</w:t>
      </w:r>
    </w:p>
    <w:p w:rsidR="00CA708D" w:rsidRPr="00CE1004" w:rsidRDefault="00CA708D" w:rsidP="00CA708D">
      <w:pPr>
        <w:spacing w:line="560" w:lineRule="exact"/>
        <w:ind w:firstLineChars="200" w:firstLine="560"/>
        <w:rPr>
          <w:rFonts w:ascii="仿宋_GB2312" w:eastAsia="仿宋_GB2312"/>
          <w:sz w:val="28"/>
          <w:szCs w:val="28"/>
        </w:rPr>
      </w:pPr>
      <w:r w:rsidRPr="00CE1004">
        <w:rPr>
          <w:rFonts w:ascii="仿宋_GB2312" w:eastAsia="仿宋_GB2312" w:hint="eastAsia"/>
          <w:sz w:val="28"/>
          <w:szCs w:val="28"/>
        </w:rPr>
        <w:t>5</w:t>
      </w:r>
      <w:r>
        <w:rPr>
          <w:rFonts w:ascii="仿宋_GB2312" w:eastAsia="仿宋_GB2312" w:hint="eastAsia"/>
          <w:sz w:val="28"/>
          <w:szCs w:val="28"/>
        </w:rPr>
        <w:t>.关</w:t>
      </w:r>
      <w:r w:rsidRPr="00CE1004">
        <w:rPr>
          <w:rFonts w:ascii="仿宋_GB2312" w:eastAsia="仿宋_GB2312" w:hint="eastAsia"/>
          <w:sz w:val="28"/>
          <w:szCs w:val="28"/>
        </w:rPr>
        <w:t>于参见的安全性研究指导原则，如果SFDA已经发布，则将USA FDA指导原则原文中的ICH或FDA相关指导原则修改为SFDA已经发布的指导原则。</w:t>
      </w:r>
    </w:p>
    <w:p w:rsidR="00CA708D" w:rsidRPr="00CA708D" w:rsidRDefault="00CA708D"/>
    <w:sectPr w:rsidR="00CA708D" w:rsidRPr="00CA708D" w:rsidSect="009E687A">
      <w:pgSz w:w="11906" w:h="16838"/>
      <w:pgMar w:top="1440" w:right="1558"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543" w:rsidRDefault="00707543" w:rsidP="0011504E">
      <w:r>
        <w:separator/>
      </w:r>
    </w:p>
  </w:endnote>
  <w:endnote w:type="continuationSeparator" w:id="0">
    <w:p w:rsidR="00707543" w:rsidRDefault="00707543" w:rsidP="00115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方正小标宋简体">
    <w:panose1 w:val="02010601030101010101"/>
    <w:charset w:val="86"/>
    <w:family w:val="auto"/>
    <w:pitch w:val="variable"/>
    <w:sig w:usb0="00000001" w:usb1="080E0000" w:usb2="00000010" w:usb3="00000000" w:csb0="00040000" w:csb1="00000000"/>
  </w:font>
  <w:font w:name="方正小标宋_GBK">
    <w:altName w:val="Microsoft YaHei UI"/>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3E9" w:rsidRDefault="002B5F31" w:rsidP="00C733E9">
    <w:pPr>
      <w:pStyle w:val="a3"/>
      <w:framePr w:wrap="around" w:vAnchor="text" w:hAnchor="margin" w:xAlign="center" w:y="1"/>
      <w:jc w:val="center"/>
      <w:rPr>
        <w:rStyle w:val="a5"/>
      </w:rPr>
    </w:pPr>
    <w:r>
      <w:rPr>
        <w:rStyle w:val="a5"/>
      </w:rPr>
      <w:fldChar w:fldCharType="begin"/>
    </w:r>
    <w:r w:rsidR="009E687A">
      <w:rPr>
        <w:rStyle w:val="a5"/>
      </w:rPr>
      <w:instrText xml:space="preserve">PAGE  </w:instrText>
    </w:r>
    <w:r>
      <w:rPr>
        <w:rStyle w:val="a5"/>
      </w:rPr>
      <w:fldChar w:fldCharType="separate"/>
    </w:r>
    <w:r w:rsidR="002F5FBD">
      <w:rPr>
        <w:rStyle w:val="a5"/>
        <w:noProof/>
      </w:rPr>
      <w:t>1</w:t>
    </w:r>
    <w:r>
      <w:rPr>
        <w:rStyle w:val="a5"/>
      </w:rPr>
      <w:fldChar w:fldCharType="end"/>
    </w:r>
  </w:p>
  <w:p w:rsidR="00B90CDE" w:rsidRDefault="00707543" w:rsidP="00802522">
    <w:pPr>
      <w:pStyle w:val="a3"/>
      <w:framePr w:wrap="around" w:vAnchor="text" w:hAnchor="margin" w:xAlign="center" w:y="1"/>
      <w:rPr>
        <w:rStyle w:val="a5"/>
      </w:rPr>
    </w:pPr>
  </w:p>
  <w:p w:rsidR="00B90CDE" w:rsidRPr="00306799" w:rsidRDefault="00707543" w:rsidP="00C733E9">
    <w:pPr>
      <w:pStyle w:val="a3"/>
      <w:tabs>
        <w:tab w:val="left" w:pos="924"/>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543" w:rsidRDefault="00707543" w:rsidP="0011504E">
      <w:r>
        <w:separator/>
      </w:r>
    </w:p>
  </w:footnote>
  <w:footnote w:type="continuationSeparator" w:id="0">
    <w:p w:rsidR="00707543" w:rsidRDefault="00707543" w:rsidP="001150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6689D"/>
    <w:multiLevelType w:val="hybridMultilevel"/>
    <w:tmpl w:val="993AAAAC"/>
    <w:lvl w:ilvl="0" w:tplc="9DB83CA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A708D"/>
    <w:rsid w:val="0011504E"/>
    <w:rsid w:val="002B5F31"/>
    <w:rsid w:val="002F5FBD"/>
    <w:rsid w:val="00391C30"/>
    <w:rsid w:val="00493167"/>
    <w:rsid w:val="006A5A70"/>
    <w:rsid w:val="00707543"/>
    <w:rsid w:val="009E687A"/>
    <w:rsid w:val="00A27B41"/>
    <w:rsid w:val="00AC49C7"/>
    <w:rsid w:val="00BB4973"/>
    <w:rsid w:val="00CA7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hmetcnv"/>
  <w:shapeDefaults>
    <o:shapedefaults v:ext="edit" spidmax="2049"/>
    <o:shapelayout v:ext="edit">
      <o:idmap v:ext="edit" data="1"/>
      <o:rules v:ext="edit">
        <o:r id="V:Rule1" type="connector" idref="#_x0000_s1029"/>
        <o:r id="V:Rule2" type="connector" idref="#_x0000_s1034"/>
        <o:r id="V:Rule3" type="connector" idref="#_x0000_s1026"/>
        <o:r id="V:Rule4" type="connector" idref="#_x0000_s1032"/>
        <o:r id="V:Rule5" type="connector" idref="#_x0000_s1028"/>
        <o:r id="V:Rule6" type="connector" idref="#_x0000_s1031"/>
        <o:r id="V:Rule7" type="connector" idref="#_x0000_s1030"/>
        <o:r id="V:Rule8" type="connector" idref="#_x0000_s1027"/>
        <o:r id="V:Rule9" type="connector" idref="#_x0000_s1033"/>
      </o:rules>
    </o:shapelayout>
  </w:shapeDefaults>
  <w:decimalSymbol w:val="."/>
  <w:listSeparator w:val=","/>
  <w15:docId w15:val="{C530470B-8745-4ABE-8A7A-19F9D336E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708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A708D"/>
    <w:pPr>
      <w:widowControl w:val="0"/>
      <w:autoSpaceDE w:val="0"/>
      <w:autoSpaceDN w:val="0"/>
      <w:adjustRightInd w:val="0"/>
    </w:pPr>
    <w:rPr>
      <w:rFonts w:ascii="TimesNewRoman,Italic" w:eastAsia="宋体" w:hAnsi="TimesNewRoman,Italic" w:cs="TimesNewRoman,Italic"/>
      <w:kern w:val="0"/>
      <w:sz w:val="20"/>
      <w:szCs w:val="20"/>
    </w:rPr>
  </w:style>
  <w:style w:type="paragraph" w:styleId="a3">
    <w:name w:val="footer"/>
    <w:basedOn w:val="a"/>
    <w:link w:val="a4"/>
    <w:uiPriority w:val="99"/>
    <w:rsid w:val="00CA708D"/>
    <w:pPr>
      <w:tabs>
        <w:tab w:val="center" w:pos="4153"/>
        <w:tab w:val="right" w:pos="8306"/>
      </w:tabs>
      <w:snapToGrid w:val="0"/>
      <w:jc w:val="left"/>
    </w:pPr>
    <w:rPr>
      <w:sz w:val="18"/>
      <w:szCs w:val="18"/>
    </w:rPr>
  </w:style>
  <w:style w:type="character" w:customStyle="1" w:styleId="a4">
    <w:name w:val="页脚 字符"/>
    <w:basedOn w:val="a0"/>
    <w:link w:val="a3"/>
    <w:uiPriority w:val="99"/>
    <w:rsid w:val="00CA708D"/>
    <w:rPr>
      <w:rFonts w:ascii="Times New Roman" w:eastAsia="宋体" w:hAnsi="Times New Roman" w:cs="Times New Roman"/>
      <w:sz w:val="18"/>
      <w:szCs w:val="18"/>
    </w:rPr>
  </w:style>
  <w:style w:type="character" w:styleId="a5">
    <w:name w:val="page number"/>
    <w:basedOn w:val="a0"/>
    <w:rsid w:val="00CA708D"/>
  </w:style>
  <w:style w:type="paragraph" w:styleId="a6">
    <w:name w:val="header"/>
    <w:basedOn w:val="a"/>
    <w:link w:val="a7"/>
    <w:uiPriority w:val="99"/>
    <w:unhideWhenUsed/>
    <w:rsid w:val="006A5A70"/>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6A5A70"/>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h.orgicache/compo/276-254-1.html)."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epa.gov/epahome/research.htm)" TargetMode="External"/><Relationship Id="rId4" Type="http://schemas.openxmlformats.org/officeDocument/2006/relationships/webSettings" Target="webSettings.xml"/><Relationship Id="rId9" Type="http://schemas.openxmlformats.org/officeDocument/2006/relationships/hyperlink" Target="http://www.ich.orgicache/compo/276-254-1.html&#6528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1055</Words>
  <Characters>6016</Characters>
  <Application>Microsoft Office Word</Application>
  <DocSecurity>0</DocSecurity>
  <Lines>50</Lines>
  <Paragraphs>14</Paragraphs>
  <ScaleCrop>false</ScaleCrop>
  <Company>Lenovo (Beijing) Limited</Company>
  <LinksUpToDate>false</LinksUpToDate>
  <CharactersWithSpaces>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admin</cp:lastModifiedBy>
  <cp:revision>7</cp:revision>
  <dcterms:created xsi:type="dcterms:W3CDTF">2012-08-14T02:58:00Z</dcterms:created>
  <dcterms:modified xsi:type="dcterms:W3CDTF">2022-10-11T08:47:00Z</dcterms:modified>
</cp:coreProperties>
</file>